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5gbsoifdudpkx_zovic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27 февраля 2026 года № 140)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</w:t>
      </w:r>
      <w:hyperlink w:history="1" r:id="rId_54qpo0rubjfona4hx2h1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Типовая 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мониторингу и оценке </w:t>
      </w:r>
      <w:r>
        <w:rPr>
          <w:rFonts w:ascii="Arial" w:cs="Arial" w:eastAsia="Arial" w:hAnsi="Arial"/>
          <w:sz w:val="24"/>
          <w:szCs w:val="24"/>
        </w:rPr>
        <w:t xml:space="preserve">использования средств </w:t>
      </w:r>
      <w:r>
        <w:rPr>
          <w:rFonts w:ascii="Arial" w:cs="Arial" w:eastAsia="Arial" w:hAnsi="Arial"/>
          <w:sz w:val="24"/>
          <w:szCs w:val="24"/>
        </w:rPr>
        <w:t xml:space="preserve">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Понятия, применяемые в настоящей Типовой методике по мониторингу и оценке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использования средств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фондов (далее – Типовая методика):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индикатор –</w:t>
      </w:r>
      <w:r>
        <w:rPr>
          <w:rFonts w:ascii="Arial" w:cs="Arial" w:eastAsia="Arial" w:hAnsi="Arial"/>
          <w:sz w:val="24"/>
          <w:szCs w:val="24"/>
        </w:rPr>
        <w:t xml:space="preserve"> показатель, характеризующий степень достижения какого-либо результата или воздействия;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–</w:t>
      </w:r>
      <w:r>
        <w:rPr>
          <w:rFonts w:ascii="Arial" w:cs="Arial" w:eastAsia="Arial" w:hAnsi="Arial"/>
          <w:sz w:val="24"/>
          <w:szCs w:val="24"/>
        </w:rPr>
        <w:t xml:space="preserve"> регулярный процесс сбора и анализа информации для отслеживания хода выполнения намеченных планов и проверки соответствия фактических действий/результатов установленным стандартам или нормативам;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результат анализа эффективности воздействия и устойчивости явлений или показателей с течением времени.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Целью Типовой методики является оказание помощи Наблюдательным советам Фондов и исполнительным органам Фондов в проведении эффективного мониторинга и оценки </w:t>
      </w:r>
      <w:r>
        <w:rPr>
          <w:rFonts w:ascii="Arial" w:cs="Arial" w:eastAsia="Arial" w:hAnsi="Arial"/>
          <w:sz w:val="24"/>
          <w:szCs w:val="24"/>
        </w:rPr>
        <w:t xml:space="preserve">использования средств Фондов</w:t>
      </w:r>
      <w:r>
        <w:rPr>
          <w:rFonts w:ascii="Arial" w:cs="Arial" w:eastAsia="Arial" w:hAnsi="Arial"/>
          <w:sz w:val="24"/>
          <w:szCs w:val="24"/>
        </w:rPr>
        <w:t xml:space="preserve"> и реализованных проектов (далее – МиО).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По итогам МиО исполнительный орган Фонда на ежегодной основе не позднее 1 апреля года, следующего за отчетным годом, подготавливает и направляет отчеты в уполномоченный государственный орган по экономическому прогнозированию и в уполномоченный государственный орган по прогнозированию и исполнению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Организация системы мониторинга и оценки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Исполнительный орган Фонда на основе Типовой методики разрабатывает собственную методику проведения мониторинга и оценки, которая утверждается решением Наблюдательного совета Фонда. По представлению исполнительного органа Фонда Наблюдательный совет Фонда утверждает состав мониторинговой группы Фонда. Рекомендуемый состав мониторинговой группы: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представитель Наблюдательного совета Фонда, руководитель мониторинговой группы, назначенный решением Наблюдательного совета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представитель Наблюдательного совета Фонда, представляющий государственные органы или органы местного самоуправления, делегированный в состав мониторинговой группы решением Наблюдательного совета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представитель Наблюдательного совета Фонда, представляющий коммерческие или некоммерческие организации, делегированный в состав мониторинговой группы решением Наблюдательного совета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представитель исполнительного органа Фонда, делегированный в состав мониторинговой группы решением руководителя соответствующего территориального подразделения уполномоченного государственного органа по прогнозированию и исполнению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Члены мониторинговой группы имеют право свободного доступа к информации и документам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Руководитель мониторинговой группы распределяет поручения членам мониторинговой группы по сбору и анализу индикаторов мониторинга и оценки.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Мониторинговая группа в срок до 31 декабря разрабатывает план проведения мониторинга и оценки на следующий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План мониторинга утверждает глава исполнительного органа Фонда. Форма плана мониторинга и оценки представлена в </w:t>
      </w:r>
      <w:hyperlink w:history="1" r:id="rIdbp79h86odut-qr71c4v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настоящей Типовой методике.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Цели и виды мониторинга и оценки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Целью мониторинга и оценки является отслеживание и дача оценки </w:t>
      </w:r>
      <w:r>
        <w:rPr>
          <w:rFonts w:ascii="Arial" w:cs="Arial" w:eastAsia="Arial" w:hAnsi="Arial"/>
          <w:sz w:val="24"/>
          <w:szCs w:val="24"/>
        </w:rPr>
        <w:t xml:space="preserve">использования средств </w:t>
      </w:r>
      <w:r>
        <w:rPr>
          <w:rFonts w:ascii="Arial" w:cs="Arial" w:eastAsia="Arial" w:hAnsi="Arial"/>
          <w:sz w:val="24"/>
          <w:szCs w:val="24"/>
        </w:rPr>
        <w:t xml:space="preserve">Фонда и реализованным проектам в режиме реального времени на предмет достижения поставленных целей в рамках выделенных финансовых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Основное предназначение мониторинга и оценки – давать информацию о принятии управленческих решений. Информация должна быть достаточной, достоверной, своевременной, надежной.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Мониторинг отвечает на вопрос «что произошло?» и «какие отклонения выявлены по сравнению с первоначальным или намеченным (без анализа ситуации)?».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отвечает на вопрос «как были достигнуты результаты?», «почему произошли отклонения?» и «как можно исправить ошибки 
 (с анализом ситуации)?».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Типового положения о фондах развития регионов (далее – Типовое положение) определены следующие виды МиО: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целевого использования финансовых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эффективности выполнения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соблюдение процедур и норм бюджетного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Определены типовые этапы подготовки системы МиО 
 (см. диаграмму 1).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Диаграмма 1. Этапы подготовки системы МиО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Индикатор служит средством измерения каких-либо достижений. Он отражает изменения, происходящие в результате работы Фонда или при реализации проекта. Индикатор позволяет ответить на вопрос, насколько достигнута цель, то есть сравнивает реальные результаты с запланированными.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Для формирования системы МиО рекомендуется использовать следующие типы индикаторов: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индикаторы процесса отражают информацию о том, как выполняются определенные действия, отраженные в плане по времени и по факту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индикаторы результатов отражают информацию о достижении результата по завершению действия или на его промежуточном этапе;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индикаторы воздействия показывают влияние, которое оказано на определенный объект в результате деятельности субъекта или реализации какого-либо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В рамках настоящей Типовой методики также будут применяться количественные и качественные индикаторы: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количественные индикаторы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индикаторы, которые применяются для мониторинга и оценки количественных характеристик, например, объем выделенных средств, число проектов, объем задолженностей;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качественные индикаторы отражают качественные характеристики, например, в виде степени удовлетворенности, восприятия, отношения к чему-либо.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Каждый индикатор оценивается в сравнении с плановым показателем. Значение планового показателя приравнивается 
 к 100 %. Индикатор оценивается как соотношение фактического к плановому показателю. Наименование индикаторов и их плановые значения являются едиными для всех Фондов.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По каждой группе индикаторов рассчитывается среднее значение. В таблице 1 приведен пример проведения оценки индикаторов.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1. Перечень индикаторов по использованию средств Фонда установленным правилам и процедурам(*)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205"/>
        <w:gridCol w:w="2034"/>
        <w:gridCol w:w="339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значение/плановое значение) * 100 %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мониторинговых визитов со стороны Фонда в реализуемые проекты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20 % от общего числа реализуемых 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(100 %)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26 % от общего числа проектов проводился мониторинг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26/20 * 100% =130 %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опубликование и обновление информации о работе Фонда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 раз в год (100 %)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обновление</w:t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1/4 * 100 = 25 %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(130 % + 25%) / 2 = 78 %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§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Использование средств Фонда по установленным правилам и процедурам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Индикаторы оценивают соответствие процедур по приему, оценке, утверждению, финансированию проектов, подаваемых заявителями в адрес Фонда, процедурам, указанным в Типовом положении.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Перечень индикаторов, описывающих соблюдение процедур со стороны Фонда с указанием числовых значений, методов оценки, источников информации, периодичности оценки, представлен в таблице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По каждой группе индикаторов рассчитывается среднее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2. Перечень индикаторов по использованию средств Фонда установленным правилам и процедурам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6"/>
        <w:gridCol w:w="2512"/>
        <w:gridCol w:w="2514"/>
        <w:gridCol w:w="2176"/>
      </w:tblGrid>
      <w:tr>
        <w:tc>
          <w:tcPr>
            <w:tcW w:type="dxa" w:w="29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
 (фактическое значение/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значение) * 100 %</w:t>
            </w:r>
          </w:p>
        </w:tc>
      </w:tr>
      <w:tr>
        <w:tc>
          <w:tcPr>
            <w:tcW w:type="dxa" w:w="2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мониторинговых визитов со стороны Фонда в реализуемые проекты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20 % от общего числа реализуемых проектов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(100 %)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фактически проведенных мониторинговых визитов от планового значения (%)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составе Наблюдательного совета Фонда представителей коммерческих и некоммерческих организаций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30 % от числа членов Наблюдательного совета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(100 %)</w:t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доля представителей коммерческого и некоммерческого сектора в составе Наблюдательного совета (%)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§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Соблюдение целевого использования финансовых средств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Индикаторы оценивают способность и ответственность Фонда и исполнителей проекта обеспечить финансирование проекта в соответствии с Планом финансирования и Планом работы по проекту.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Перечень индикаторов, описывающих целевое использование финансовых средств, представлен в таблице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3. Перечень индикаторов соблюдения целевого использования финансовых средств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27"/>
        <w:gridCol w:w="2695"/>
        <w:gridCol w:w="2530"/>
        <w:gridCol w:w="2125"/>
      </w:tblGrid>
      <w:tr>
        <w:tc>
          <w:tcPr>
            <w:tcW w:type="dxa" w:w="28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значение) * 100 %</w:t>
            </w:r>
          </w:p>
        </w:tc>
      </w:tr>
      <w:tr>
        <w:tc>
          <w:tcPr>
            <w:tcW w:type="dxa" w:w="2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соотношения между объемом финансирования по экономическим проектам по отношению к общему объему финансирования (показать, как Фонд выполняет свои решения по финансированию экономических проектов)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финансирования, выделенный решением Наблюдательного совета на экономические проекты (50 %)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объема финансирования по экономическим проектам (%)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в которых фактическая смета соответствует плановой смете (фактические статьи расходов по смете должны соответствовать плановым расходам по смете)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проектов с согласованной сметой (100 %)</w:t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фактически реализованных проектов от общего числа проектов, в которых есть отклонения от сметы (%)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§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Оценка эффективности выполнения проектов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Индикаторы оценивают достижение целей и задач завершенных проектов в рамках утвержденных бюджетов.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Индикаторы оценки эффективности выполнения проектов представлены в таблице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4. Индикаторы эффективности выполнения проектов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36"/>
        <w:gridCol w:w="2481"/>
        <w:gridCol w:w="2150"/>
        <w:gridCol w:w="2111"/>
      </w:tblGrid>
      <w:tr>
        <w:tc>
          <w:tcPr>
            <w:tcW w:type="dxa" w:w="3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значение) * 100 %</w:t>
            </w:r>
          </w:p>
        </w:tc>
      </w:tr>
      <w:tr>
        <w:tc>
          <w:tcPr>
            <w:tcW w:type="dxa" w:w="3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завершенных проектов (для инфраструктурных проектов завершением является наличие акта ввода объекта в эксплуатацию, для техники, оборудования включение в реестр муниципального имущества)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решением Наблюдательного совета Фонда проектов на текущий год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(100 %)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фактически завершенных проектов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проектов, которые достигли всех запланированных индикаторов (пример: в проекте «Организация секции по футболу» указано, что будет создано 2 рабочих места и 25 детей будет заниматься футболом. Фактически создано 3 рабочих места и занимается 30 детей. Проект достиг своей цели)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всех реализованных проектов (100 %)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в которых достигнуты заявленные цели, индикаторы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удовлетворенности конечных потребителей результатами реализованных проектов. (Методика проведения МиО качественных индикаторов приведена в </w:t>
            </w:r>
            <w:hyperlink w:history="1" r:id="rIdwyaptgdidx1tge1edi9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приложении 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настоящей Типовой методике)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не ниже 3,5 балла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(100 %)</w:t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оценка по итогам анкетирования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§ 4. Соблюдение процедур и норм бюджетного законодательства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Индикаторы оценивают </w:t>
      </w:r>
      <w:r>
        <w:rPr>
          <w:rFonts w:ascii="Arial" w:cs="Arial" w:eastAsia="Arial" w:hAnsi="Arial"/>
          <w:sz w:val="24"/>
          <w:szCs w:val="24"/>
        </w:rPr>
        <w:t xml:space="preserve">ответственность </w:t>
      </w:r>
      <w:r>
        <w:rPr>
          <w:rFonts w:ascii="Arial" w:cs="Arial" w:eastAsia="Arial" w:hAnsi="Arial"/>
          <w:sz w:val="24"/>
          <w:szCs w:val="24"/>
        </w:rPr>
        <w:t xml:space="preserve">и целесообразность</w:t>
      </w:r>
      <w:r>
        <w:rPr>
          <w:rFonts w:ascii="Arial" w:cs="Arial" w:eastAsia="Arial" w:hAnsi="Arial"/>
          <w:sz w:val="24"/>
          <w:szCs w:val="24"/>
        </w:rPr>
        <w:t xml:space="preserve">по использованию средств Фондов и исполнителей проектов в отношении соблюдения норм бюджетного законодательства, в том числе процедур государственных закупок, таблица 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5. Индикаторы соблюдения процедур и норм бюджетного законодательства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72"/>
        <w:gridCol w:w="2506"/>
        <w:gridCol w:w="2510"/>
        <w:gridCol w:w="2190"/>
      </w:tblGrid>
      <w:tr>
        <w:tc>
          <w:tcPr>
            <w:tcW w:type="dxa" w:w="29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</w:t>
            </w:r>
          </w:p>
        </w:tc>
        <w:tc>
          <w:tcPr>
            <w:tcW w:type="dxa" w:w="2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индикатора (фактическое значение/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значение) * 100 %</w:t>
            </w:r>
          </w:p>
        </w:tc>
      </w:tr>
      <w:tr>
        <w:tc>
          <w:tcPr>
            <w:tcW w:type="dxa" w:w="2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проектов, в которых не выявлены финансовые нарушения по итогам аудита Счетной палаты и другими проверяющими органами за прошедший год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общее число реализованных проектов (100 %)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по которым есть замечания Счетной палаты и других проверяющих органов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проектов, в которых выявлено нарушений по итогам аудита Счетной палаты и другими проверяющими органами за прошедший год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общее число реализованных проектов (100 %)</w:t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Указать число проектов, по которым выявлены замечания Счетной палаты и других проверяющих органов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оценка индикатора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Статистическая информация об использовании средств Фонда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Исполнительный орган Фонда не менее 1 раза в год, не позднее 1 апреля года, следующего за отчетным годом, представляет в уполномоченный государственный орган по экономическому прогнозированию статистическую информацию об использовании средств Фонда.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статистической информации представлен в </w:t>
      </w:r>
      <w:hyperlink w:history="1" r:id="rId_jr-aintofufr6kyv7f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Типовой методике.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Отчеты по результатам мониторинга и оценки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Результаты мониторинга оформляются в виде отчета, где отражаются результаты мониторинга и рекомендации по устранению отклонений. Отчет мониторинговой группы заслушивается на заседаниях Наблюдательного совета Фонда не менее 2 раз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исполнительного органа Фонда по результатам мониторинга и оценки на ежегодной основе не позднее 1 апреля года, следующего за отчетным годом, направляется в уполномоченный государственный орган по экономическому прогнозированию, а также в уполномоченный государственный орган по прогнозированию и исполнению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формат отчета представлен в </w:t>
      </w:r>
      <w:hyperlink w:history="1" r:id="rIdygi-qgunzqnnijvqxzh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Типовой методике.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визуализации результатов мониторинга и оценки рекомендуется использовать «лепестковую диаграмму» на основе Excel программы.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6. Результаты мониторинга и оценки(*)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5"/>
        <w:gridCol w:w="3233"/>
      </w:tblGrid>
      <w:tr>
        <w:tc>
          <w:tcPr>
            <w:tcW w:type="dxa" w:w="69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группы индикаторов</w:t>
            </w:r>
          </w:p>
        </w:tc>
        <w:tc>
          <w:tcPr>
            <w:tcW w:type="dxa" w:w="3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Средняя оценка индикаторов</w:t>
            </w:r>
          </w:p>
        </w:tc>
      </w:tr>
      <w:tr>
        <w:tc>
          <w:tcPr>
            <w:tcW w:type="dxa" w:w="6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средств Фонда по установленным правилам и процедурам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76 %</w:t>
            </w:r>
          </w:p>
        </w:tc>
      </w:tr>
      <w:tr>
        <w:tc>
          <w:tcPr>
            <w:tcW w:type="dxa" w:w="6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целевого использования финансовых средств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85 %</w:t>
            </w:r>
          </w:p>
        </w:tc>
      </w:tr>
      <w:tr>
        <w:tc>
          <w:tcPr>
            <w:tcW w:type="dxa" w:w="6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эффективности выполнения проектов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64 %</w:t>
            </w:r>
          </w:p>
        </w:tc>
      </w:tr>
      <w:tr>
        <w:tc>
          <w:tcPr>
            <w:tcW w:type="dxa" w:w="69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процедур и норм бюджетного законодательства Кыргызской Республики</w:t>
            </w:r>
          </w:p>
        </w:tc>
        <w:tc>
          <w:tcPr>
            <w:tcW w:type="dxa" w:w="3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oqlxgmommzywmeilk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dalil.kg/document/230042061</w:t>
      </w:r>
    </w:hyperlink>
  </w:p>
  <w:p>
    <w:pPr>
      <w:spacing w:after="0" w:before="40"/>
      <w:jc w:val="center"/>
    </w:pPr>
    <w:hyperlink w:history="1" r:id="rIdcrefzvqle028vb3m82t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bsoifdudpkx_zovick0" Type="http://schemas.openxmlformats.org/officeDocument/2006/relationships/hyperlink" Target="https://dalil.kg/document/230041881" TargetMode="External"/><Relationship Id="rId_54qpo0rubjfona4hx2h1" Type="http://schemas.openxmlformats.org/officeDocument/2006/relationships/hyperlink" Target="https://dalil.kg/document/230014990" TargetMode="External"/><Relationship Id="rIdbp79h86odut-qr71c4vxv" Type="http://schemas.openxmlformats.org/officeDocument/2006/relationships/hyperlink" Target="https://dalil.kg/document/230042061#pr1" TargetMode="External"/><Relationship Id="rIdwyaptgdidx1tge1edi9ui" Type="http://schemas.openxmlformats.org/officeDocument/2006/relationships/hyperlink" Target="https://dalil.kg/document/230042061#pr2" TargetMode="External"/><Relationship Id="rId_jr-aintofufr6kyv7f9z" Type="http://schemas.openxmlformats.org/officeDocument/2006/relationships/hyperlink" Target="https://dalil.kg/document/230042061#pr3" TargetMode="External"/><Relationship Id="rIdygi-qgunzqnnijvqxzhfq" Type="http://schemas.openxmlformats.org/officeDocument/2006/relationships/hyperlink" Target="https://dalil.kg/document/230042061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oqlxgmommzywmeilk5-" Type="http://schemas.openxmlformats.org/officeDocument/2006/relationships/hyperlink" Target="https://dalil.kg/document/230042061" TargetMode="External"/><Relationship Id="rIdcrefzvqle028vb3m82t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2026-09-25T02:18:48.739Z</dcterms:created>
  <dcterms:modified xsi:type="dcterms:W3CDTF">2026-09-25T02:18:48.739Z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