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№46/5-29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установлении</w:t>
      </w:r>
      <w:r>
        <w:rPr>
          <w:rFonts w:ascii="Arial" w:cs="Arial" w:eastAsia="Arial" w:hAnsi="Arial"/>
          <w:sz w:val="24"/>
          <w:szCs w:val="24"/>
        </w:rPr>
        <w:t xml:space="preserve"> тариф</w:t>
      </w:r>
      <w:r>
        <w:rPr>
          <w:rFonts w:ascii="Arial" w:cs="Arial" w:eastAsia="Arial" w:hAnsi="Arial"/>
          <w:sz w:val="24"/>
          <w:szCs w:val="24"/>
        </w:rPr>
        <w:t xml:space="preserve">а на</w:t>
      </w:r>
      <w:r>
        <w:rPr>
          <w:rFonts w:ascii="Arial" w:cs="Arial" w:eastAsia="Arial" w:hAnsi="Arial"/>
          <w:sz w:val="24"/>
          <w:szCs w:val="24"/>
        </w:rPr>
        <w:t xml:space="preserve">поливную воду в селе Подгорное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qhbpbfp7glh25mnzi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директора муниципального предприятия “Орловский водоканал” Тентиева Т.А. , Орловский городской кенеш </w:t>
      </w:r>
    </w:p>
    <w:p>
      <w:pPr>
        <w:spacing w:after="20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тариф на поливную воду в селе Подгорное города Орловка в размере 200 (двести) сом за один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9jzxjcmtqtovavm9a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dalil.kg/document/230042416</w:t>
      </w:r>
    </w:hyperlink>
  </w:p>
  <w:p>
    <w:pPr>
      <w:spacing w:after="0" w:before="40"/>
      <w:jc w:val="center"/>
    </w:pPr>
    <w:hyperlink w:history="1" r:id="rIdn0xxpaali97rwf5wiby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hbpbfp7glh25mnzi2au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9jzxjcmtqtovavm9av3" Type="http://schemas.openxmlformats.org/officeDocument/2006/relationships/hyperlink" Target="https://dalil.kg/document/230042416" TargetMode="External"/><Relationship Id="rIdn0xxpaali97rwf5wiby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2026-09-27T10:11:55.451Z</dcterms:created>
  <dcterms:modified xsi:type="dcterms:W3CDTF">2026-09-27T10:11:55.451Z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