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ОРЛОВСКОГО ГОРОДСКОГО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ОЧЕРЕДНАЯ СЕССИЯ ДЕПУТАТОВ ОРЛОВСКОГО ГОРОДСКОГО КЕНЕША ХХ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Х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</w:t>
      </w:r>
      <w:r>
        <w:rPr>
          <w:rFonts w:ascii="Arial" w:cs="Arial" w:eastAsia="Arial" w:hAnsi="Arial"/>
          <w:sz w:val="24"/>
          <w:szCs w:val="24"/>
        </w:rPr>
        <w:t xml:space="preserve"> 15 мая 2025 года №41/5-29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Жайыт комитета города Орловка в МП “Орловское городское ЖКХ”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ст.</w:t>
      </w:r>
      <w:hyperlink w:history="1" r:id="rIdx3bfz50y_dxh_7ovsxz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mbzv3okzwqduk312bw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Орловский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 01 июня 2025 года возложить все функции Жайыт комитета города Орловка на муниципальное предприятие “Орловское жилищно-коммунальное хозяйство”.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Орловка передать движимое, недвижимое имущество и материальные средства Жайыт комитета города Орловка в муниципальное предприятие “Орловское жилищно-коммунальное хозяйство”.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Муниципальному предприятию “Орловское городское ЖКХ” вести работу Жайыт комитета согласно утвержденного бюджета, годового плана на 2025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председателя постоянной комиссии по земельным вопросам Н.Д.Токтакунова и мэра г.Орловка А.А.Койшыбаева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Токтакунов М.И.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zc-ib4vklwyho6titu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dalil.kg/document/230042432</w:t>
      </w:r>
    </w:hyperlink>
  </w:p>
  <w:p>
    <w:pPr>
      <w:spacing w:after="0" w:before="40"/>
      <w:jc w:val="center"/>
    </w:pPr>
    <w:hyperlink w:history="1" r:id="rIdzlmmrj2-yu-bftjsq3m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3bfz50y_dxh_7ovsxz5w" Type="http://schemas.openxmlformats.org/officeDocument/2006/relationships/hyperlink" Target="https://dalil.kg/document/112302#st_27" TargetMode="External"/><Relationship Id="rIdqmbzv3okzwqduk312bwoq" Type="http://schemas.openxmlformats.org/officeDocument/2006/relationships/hyperlink" Target="https://dalil.kg/document/112302#st_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zc-ib4vklwyho6tituqa" Type="http://schemas.openxmlformats.org/officeDocument/2006/relationships/hyperlink" Target="https://dalil.kg/document/230042432" TargetMode="External"/><Relationship Id="rIdzlmmrj2-yu-bftjsq3mg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2026-09-27T10:12:36.957Z</dcterms:created>
  <dcterms:modified xsi:type="dcterms:W3CDTF">2026-09-27T10:12:36.957Z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