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2026 года № 175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утверждении Порядка реализации драгоценных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металлов отечественным производителям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ювелирных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4 </w:t>
      </w:r>
      <w:hyperlink w:history="1" r:id="rIdkises7wyasgdsumfwf4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драгоценных металлах и драгоценных камнях», подпунктами 2, 3 пункта 1 </w:t>
      </w:r>
      <w:hyperlink w:history="1" r:id="rIdrute1kb_t4osq5x3bpi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 мерах по поддержке отдельных отраслей экономики» от 5 декабря 2025 года № 350, </w:t>
      </w:r>
      <w:r>
        <w:rPr>
          <w:rFonts w:ascii="Arial" w:cs="Arial" w:eastAsia="Arial" w:hAnsi="Arial"/>
          <w:sz w:val="24"/>
          <w:szCs w:val="24"/>
        </w:rPr>
        <w:t xml:space="preserve">статьями </w:t>
      </w:r>
      <w:hyperlink w:history="1" r:id="rIdykcsgtc05dpg8k3modp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hskgwmhik07z8wpuel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 Министров Кыргызской Республики» </w:t>
      </w: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neai5lhbvpqoeru2rul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реализации драгоценных металлов отечественным производителям ювелирных изделий</w:t>
      </w:r>
      <w:r>
        <w:rPr>
          <w:rFonts w:ascii="Arial" w:cs="Arial" w:eastAsia="Arial" w:hAnsi="Arial"/>
          <w:sz w:val="24"/>
          <w:szCs w:val="24"/>
        </w:rPr>
        <w:t xml:space="preserve"> 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реализация драгоценных металлов отечественным производителям ювелирных изделий осуществляется со скидкой в размере </w:t>
      </w:r>
      <w:r>
        <w:rPr>
          <w:rFonts w:ascii="Arial" w:cs="Arial" w:eastAsia="Arial" w:hAnsi="Arial"/>
          <w:sz w:val="24"/>
          <w:szCs w:val="24"/>
        </w:rPr>
        <w:t xml:space="preserve">2 (двух) процентов от фиксинга Лондонской ассоциации рынка драгоценных металлов.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в установленном порядке обеспечить </w:t>
      </w:r>
      <w:r>
        <w:rPr>
          <w:rFonts w:ascii="Arial" w:cs="Arial" w:eastAsia="Arial" w:hAnsi="Arial"/>
          <w:sz w:val="24"/>
          <w:szCs w:val="24"/>
        </w:rPr>
        <w:t xml:space="preserve">выделение финансовых средств, необходимых для реализации драгоценных металлов, в соответствии с настоящим постановлением.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Пункты скупок и ломбарды, осуществляющие операции с драгоценными металлами и драгоценными камнями, вправе реализовать ювелирные и другие изделия, а также лом драгоценных металлов и драгоценных камней уполномоченному государственному органу, осуществляющему функции по реализации государственной политики в сфере обращения и учета драгоценных металлов и драгоценных камней, за исключением изделий из них.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24 марта 2026 года № 22 (3782)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6ng7p9aaieuvetyqgnf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dalil.kg/document/230042720</w:t>
      </w:r>
    </w:hyperlink>
  </w:p>
  <w:p>
    <w:pPr>
      <w:spacing w:after="0" w:before="40"/>
      <w:jc w:val="center"/>
    </w:pPr>
    <w:hyperlink w:history="1" r:id="rIdvyplcyvbytagv4hmfl3s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ises7wyasgdsumfwf4ro" Type="http://schemas.openxmlformats.org/officeDocument/2006/relationships/hyperlink" Target="https://dalil.kg/document/112413#st_6" TargetMode="External"/><Relationship Id="rIdrute1kb_t4osq5x3bpi0x" Type="http://schemas.openxmlformats.org/officeDocument/2006/relationships/hyperlink" Target="https://dalil.kg/document/230035384" TargetMode="External"/><Relationship Id="rIdykcsgtc05dpg8k3modphb" Type="http://schemas.openxmlformats.org/officeDocument/2006/relationships/hyperlink" Target="https://dalil.kg/document/112301#st_13" TargetMode="External"/><Relationship Id="rIdwhskgwmhik07z8wpuelhy" Type="http://schemas.openxmlformats.org/officeDocument/2006/relationships/hyperlink" Target="https://dalil.kg/document/112301#st_17" TargetMode="External"/><Relationship Id="rIdneai5lhbvpqoeru2rulz8" Type="http://schemas.openxmlformats.org/officeDocument/2006/relationships/hyperlink" Target="https://dalil.kg/document/23004333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6ng7p9aaieuvetyqgnf3" Type="http://schemas.openxmlformats.org/officeDocument/2006/relationships/hyperlink" Target="https://dalil.kg/document/230042720" TargetMode="External"/><Relationship Id="rIdvyplcyvbytagv4hmfl3s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2026-09-26T10:03:26.825Z</dcterms:created>
  <dcterms:modified xsi:type="dcterms:W3CDTF">2026-09-26T10:03:26.825Z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