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4 марта 2026 года № 2026-П-12/15-3-(НПА)</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О внесении изменений в некоторые нормативные правовые акты Национального банка Кыргызской Республики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статьями </w:t>
      </w:r>
      <w:hyperlink w:history="1" r:id="rIdlrrrfhofeiypaurdtoaq5">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dgzxctyr63zyztsrwpmqb">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cvxpfzop5ycbaa4xprwgt">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 </w:t>
      </w:r>
    </w:p>
    <w:p>
      <w:pPr>
        <w:spacing w:after="120"/>
        <w:ind w:firstLine="567"/>
        <w:jc w:val="both"/>
      </w:pPr>
      <w:r>
        <w:rPr>
          <w:rFonts w:ascii="Arial" w:cs="Arial" w:eastAsia="Arial" w:hAnsi="Arial"/>
          <w:sz w:val="24"/>
          <w:szCs w:val="24"/>
        </w:rPr>
        <w:t xml:space="preserve">1. Внести изменения в следующие постановления Правления Национального банка Кыргызской Республики (</w:t>
      </w:r>
      <w:hyperlink w:history="1" r:id="rIdidz9wevz0r9fy_rknrdc1">
        <w:r>
          <w:rPr>
            <w:rFonts w:ascii="Arial" w:cs="Arial" w:eastAsia="Arial" w:hAnsi="Arial"/>
            <w:color w:val="1D4ED8"/>
            <w:sz w:val="24"/>
            <w:szCs w:val="24"/>
            <w:u w:val="single"/>
          </w:rPr>
          <w:t xml:space="preserve">прилагаются</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w:t>
      </w:r>
      <w:hyperlink w:history="1" r:id="rIdakzkszsdbwbjfmr7a1i4l">
        <w:r>
          <w:rPr>
            <w:rFonts w:ascii="Arial" w:cs="Arial" w:eastAsia="Arial" w:hAnsi="Arial"/>
            <w:color w:val="1D4ED8"/>
            <w:sz w:val="24"/>
            <w:szCs w:val="24"/>
            <w:u w:val="single"/>
          </w:rPr>
          <w:t xml:space="preserve">от 30 июня 2010 года № 52/4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"Об утверждении "</w:t>
      </w:r>
      <w:hyperlink w:history="1" r:id="rIdiyohnry8fqcruomly2hgd">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w:t>
      </w:r>
      <w:hyperlink w:history="1" r:id="rIdasoyg1hfcaj-tcme0sd4z">
        <w:r>
          <w:rPr>
            <w:rFonts w:ascii="Arial" w:cs="Arial" w:eastAsia="Arial" w:hAnsi="Arial"/>
            <w:color w:val="1D4ED8"/>
            <w:sz w:val="24"/>
            <w:szCs w:val="24"/>
            <w:u w:val="single"/>
          </w:rPr>
          <w:t xml:space="preserve">от 4 июля 2012 года № 28/7</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2. Юридическому управлению: </w:t>
      </w:r>
    </w:p>
    <w:p>
      <w:pPr>
        <w:spacing w:after="120"/>
        <w:ind w:firstLine="567"/>
        <w:jc w:val="both"/>
      </w:pPr>
      <w:r>
        <w:rPr>
          <w:rFonts w:ascii="Arial" w:cs="Arial" w:eastAsia="Arial" w:hAnsi="Arial"/>
          <w:sz w:val="24"/>
          <w:szCs w:val="24"/>
        </w:rPr>
        <w:t xml:space="preserve">- со дня получения соответствующих документов в течение 3 (трех) рабочих дней опубликовать настоящее постановление на официальном интернет-сайте Национального банка Кыргызской Республики; </w:t>
      </w:r>
    </w:p>
    <w:p>
      <w:pPr>
        <w:spacing w:after="12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 </w:t>
      </w:r>
    </w:p>
    <w:p>
      <w:pPr>
        <w:spacing w:after="120"/>
        <w:ind w:firstLine="567"/>
        <w:jc w:val="both"/>
      </w:pPr>
      <w:r>
        <w:rPr>
          <w:rFonts w:ascii="Arial" w:cs="Arial" w:eastAsia="Arial" w:hAnsi="Arial"/>
          <w:sz w:val="24"/>
          <w:szCs w:val="24"/>
        </w:rPr>
        <w:t xml:space="preserve">3. Настоящее постановление вступает в силу по истечении 15 (пятнадцати) дней со дня официального опубликования. </w:t>
      </w:r>
    </w:p>
    <w:p>
      <w:pPr>
        <w:spacing w:after="120"/>
        <w:ind w:firstLine="567"/>
        <w:jc w:val="both"/>
      </w:pPr>
      <w:r>
        <w:rPr>
          <w:rFonts w:ascii="Arial" w:cs="Arial" w:eastAsia="Arial" w:hAnsi="Arial"/>
          <w:sz w:val="24"/>
          <w:szCs w:val="24"/>
        </w:rPr>
        <w:t xml:space="preserve">4. Управлению методологии надзора в течение 3 (трех) рабочих дней со дня официального опубликования настоящего постановления довести его до сведения Объединения юридических лиц "Союз банков Кыргызстана", коммерческих банков, Объединения юридических лиц "Ассоциация Микрофинансовых Организаций", Объединения юридических лиц "Национальная ассоциация кредитных союзов и кооперативов Кыргызстана", Открытого акционерного общества "Финансовая компания кредитных союзов", микрофинансовых организаций и кредитных союзов. </w:t>
      </w:r>
    </w:p>
    <w:p>
      <w:pPr>
        <w:spacing w:after="120"/>
        <w:ind w:firstLine="567"/>
        <w:jc w:val="both"/>
      </w:pPr>
      <w:r>
        <w:rPr>
          <w:rFonts w:ascii="Arial" w:cs="Arial" w:eastAsia="Arial" w:hAnsi="Arial"/>
          <w:sz w:val="24"/>
          <w:szCs w:val="24"/>
        </w:rPr>
        <w:t xml:space="preserve">5. Отделу "Секретариат Правления" в течение 3 (трех) рабочих дней со дня принятия настоящего постановления довести его до сведения структурных подразделений, областных управлений и Представительства Национального банка Кыргызской Республики в Баткенской области. </w:t>
      </w:r>
    </w:p>
    <w:p>
      <w:pPr>
        <w:spacing w:after="120"/>
        <w:ind w:firstLine="567"/>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М. Тургунбаев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Правления Национального банка Кыргызской Республикиот 4 марта 2026 года № 2026-П-12/15-3-(НПА)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ИЗМЕНЕНИЯ</w:t>
      </w:r>
    </w:p>
    <w:p>
      <w:pPr>
        <w:spacing w:after="240" w:before="200"/>
        <w:jc w:val="center"/>
      </w:pPr>
      <w:r>
        <w:rPr>
          <w:rFonts w:ascii="Arial" w:cs="Arial" w:eastAsia="Arial" w:hAnsi="Arial"/>
          <w:b/>
          <w:bCs/>
          <w:sz w:val="32"/>
          <w:szCs w:val="32"/>
        </w:rPr>
        <w:t xml:space="preserve">в некоторые нормативные правовые акты Национального банка Кыргызской Республики </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Внести в </w:t>
      </w:r>
      <w:hyperlink w:history="1" r:id="rIdjs50nr2_4i-b6leq40ml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следующее изменение: </w:t>
      </w:r>
    </w:p>
    <w:p>
      <w:pPr>
        <w:spacing w:after="120"/>
        <w:ind w:firstLine="567"/>
        <w:jc w:val="both"/>
      </w:pPr>
      <w:r>
        <w:rPr>
          <w:rFonts w:ascii="Arial" w:cs="Arial" w:eastAsia="Arial" w:hAnsi="Arial"/>
          <w:sz w:val="24"/>
          <w:szCs w:val="24"/>
        </w:rPr>
        <w:t xml:space="preserve">в </w:t>
      </w:r>
      <w:hyperlink w:history="1" r:id="rIdaicadvm5j7nsj0agdegaa">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утвержденном вышеуказанным </w:t>
      </w:r>
      <w:hyperlink w:history="1" r:id="rIdapizlwaowo1feghr-s1q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пункт 3-2 изложить в следующей редакции: </w:t>
      </w:r>
    </w:p>
    <w:p>
      <w:pPr>
        <w:spacing w:after="120"/>
        <w:ind w:firstLine="567"/>
        <w:jc w:val="both"/>
      </w:pPr>
      <w:r>
        <w:rPr>
          <w:rFonts w:ascii="Arial" w:cs="Arial" w:eastAsia="Arial" w:hAnsi="Arial"/>
          <w:sz w:val="24"/>
          <w:szCs w:val="24"/>
        </w:rPr>
        <w:t xml:space="preserve">"3-2. Бланковые кредиты - это кредиты, обеспечением по которым не являются недвижимое имущество, движимое имущество, гарантии, поручительство, имущественные права, право требования и иные инструменты, предусмотренные законодательством о залоге и нормативными правовыми актами Национального банка в качестве обеспечения по кредитам, за исключением овердрафтов по платежным картам в рамках зарплатных проектов, овердрафтов по платежным картам, выданным пенсионерам. </w:t>
      </w:r>
    </w:p>
    <w:p>
      <w:pPr>
        <w:spacing w:after="120"/>
        <w:ind w:firstLine="567"/>
        <w:jc w:val="both"/>
      </w:pPr>
      <w:r>
        <w:rPr>
          <w:rFonts w:ascii="Arial" w:cs="Arial" w:eastAsia="Arial" w:hAnsi="Arial"/>
          <w:sz w:val="24"/>
          <w:szCs w:val="24"/>
        </w:rPr>
        <w:t xml:space="preserve">При этом имущественные права заемщика, а также право требования банка на будущие поступления денежных средств, товары, запасы, дебиторскую задолженность или иные будущие активы заемщика, за исключением прав, носящих личный характер, в том числе права на получение заработной платы, пенсии или права на получение личных услуг, признаются обеспечением по кредитам при условии подтверждения таких прав действующими договорами или иными документами. При отсутствии подтверждения такие кредиты считаются бланковыми кредитами. </w:t>
      </w:r>
    </w:p>
    <w:p>
      <w:pPr>
        <w:spacing w:after="120"/>
        <w:ind w:firstLine="567"/>
        <w:jc w:val="both"/>
      </w:pPr>
      <w:r>
        <w:rPr>
          <w:rFonts w:ascii="Arial" w:cs="Arial" w:eastAsia="Arial" w:hAnsi="Arial"/>
          <w:sz w:val="24"/>
          <w:szCs w:val="24"/>
        </w:rPr>
        <w:t xml:space="preserve">Бланковые кредиты выдаются исключительно кредитоспособному заемщику на основании оценки уровня его доходов/анализа платежеспособности в соответствии с нормативными правовыми актами Национального банка. </w:t>
      </w:r>
    </w:p>
    <w:p>
      <w:pPr>
        <w:spacing w:after="120"/>
        <w:ind w:firstLine="567"/>
        <w:jc w:val="both"/>
      </w:pPr>
      <w:r>
        <w:rPr>
          <w:rFonts w:ascii="Arial" w:cs="Arial" w:eastAsia="Arial" w:hAnsi="Arial"/>
          <w:sz w:val="24"/>
          <w:szCs w:val="24"/>
        </w:rPr>
        <w:t xml:space="preserve">Примечание: Изменения, внесенные постановлением Правления Национального банка № 2026-П-12/15-3-(НПА) от 4 марта 2026 года, действуют для кредитов, выданных после даты вступления в силу указанного постановления.".</w:t>
      </w:r>
    </w:p>
    <w:p>
      <w:pPr>
        <w:spacing w:after="120"/>
        <w:ind w:firstLine="567"/>
        <w:jc w:val="both"/>
      </w:pPr>
      <w:r>
        <w:rPr>
          <w:rFonts w:ascii="Arial" w:cs="Arial" w:eastAsia="Arial" w:hAnsi="Arial"/>
          <w:sz w:val="24"/>
          <w:szCs w:val="24"/>
        </w:rPr>
        <w:t xml:space="preserve">2. Внести в </w:t>
      </w:r>
      <w:hyperlink w:history="1" r:id="rIdfiyslixwqhvzbxhmer0_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aecehnqlzyrfwonnw7foz">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от 4 июля 2012 года № 28/7 следующее изменение: </w:t>
      </w:r>
    </w:p>
    <w:p>
      <w:pPr>
        <w:spacing w:after="120"/>
        <w:ind w:firstLine="567"/>
        <w:jc w:val="both"/>
      </w:pPr>
      <w:r>
        <w:rPr>
          <w:rFonts w:ascii="Arial" w:cs="Arial" w:eastAsia="Arial" w:hAnsi="Arial"/>
          <w:sz w:val="24"/>
          <w:szCs w:val="24"/>
        </w:rPr>
        <w:t xml:space="preserve">в </w:t>
      </w:r>
      <w:hyperlink w:history="1" r:id="rIddtactt0kuddd0kmparp0d">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утвержденном вышеуказанным </w:t>
      </w:r>
      <w:hyperlink w:history="1" r:id="rIdtwp-lh0eg6doriogym6u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пункт 6 дополнить предложением следующего содержания: </w:t>
      </w:r>
    </w:p>
    <w:p>
      <w:pPr>
        <w:spacing w:after="120"/>
        <w:ind w:firstLine="567"/>
        <w:jc w:val="both"/>
      </w:pPr>
      <w:r>
        <w:rPr>
          <w:rFonts w:ascii="Arial" w:cs="Arial" w:eastAsia="Arial" w:hAnsi="Arial"/>
          <w:sz w:val="24"/>
          <w:szCs w:val="24"/>
        </w:rPr>
        <w:t xml:space="preserve">"При этом предметом залога не могут быть права, носящие личный характер, в том числе право на получение заработной платы, пенсии или право на получение личных услуг.".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po4emstuzgvdigdpw_ay">
      <w:r>
        <w:rPr>
          <w:rFonts w:ascii="Arial" w:cs="Arial" w:eastAsia="Arial" w:hAnsi="Arial"/>
          <w:color w:val="132D3F"/>
          <w:sz w:val="16"/>
          <w:szCs w:val="16"/>
          <w:u w:val="single"/>
        </w:rPr>
        <w:t xml:space="preserve">dalil.kg/document/230042750</w:t>
      </w:r>
    </w:hyperlink>
  </w:p>
  <w:p>
    <w:pPr>
      <w:spacing w:after="0" w:before="40"/>
      <w:jc w:val="center"/>
    </w:pPr>
    <w:hyperlink w:history="1" r:id="rIdqjcuvyd2q1hzjznsnvip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rrrfhofeiypaurdtoaq5" Type="http://schemas.openxmlformats.org/officeDocument/2006/relationships/hyperlink" Target="https://dalil.kg/document/112424#st_5" TargetMode="External"/><Relationship Id="rIddgzxctyr63zyztsrwpmqb" Type="http://schemas.openxmlformats.org/officeDocument/2006/relationships/hyperlink" Target="https://dalil.kg/document/112424#st_9" TargetMode="External"/><Relationship Id="rIdcvxpfzop5ycbaa4xprwgt" Type="http://schemas.openxmlformats.org/officeDocument/2006/relationships/hyperlink" Target="https://dalil.kg/document/112424#st_64" TargetMode="External"/><Relationship Id="rIdidz9wevz0r9fy_rknrdc1" Type="http://schemas.openxmlformats.org/officeDocument/2006/relationships/hyperlink" Target="https://dalil.kg/document/230042750#pr" TargetMode="External"/><Relationship Id="rIdakzkszsdbwbjfmr7a1i4l" Type="http://schemas.openxmlformats.org/officeDocument/2006/relationships/hyperlink" Target="https://dalil.kg/document/302353" TargetMode="External"/><Relationship Id="rIdiyohnry8fqcruomly2hgd" Type="http://schemas.openxmlformats.org/officeDocument/2006/relationships/hyperlink" Target="https://dalil.kg/document/302508" TargetMode="External"/><Relationship Id="rIdasoyg1hfcaj-tcme0sd4z" Type="http://schemas.openxmlformats.org/officeDocument/2006/relationships/hyperlink" Target="https://dalil.kg/document/302507" TargetMode="External"/><Relationship Id="rIdjs50nr2_4i-b6leq40ml5" Type="http://schemas.openxmlformats.org/officeDocument/2006/relationships/hyperlink" Target="https://dalil.kg/document/302353" TargetMode="External"/><Relationship Id="rIdaicadvm5j7nsj0agdegaa" Type="http://schemas.openxmlformats.org/officeDocument/2006/relationships/hyperlink" Target="https://dalil.kg/document/302354" TargetMode="External"/><Relationship Id="rIdapizlwaowo1feghr-s1qi" Type="http://schemas.openxmlformats.org/officeDocument/2006/relationships/hyperlink" Target="https://dalil.kg/document/302353" TargetMode="External"/><Relationship Id="rIdfiyslixwqhvzbxhmer0_x" Type="http://schemas.openxmlformats.org/officeDocument/2006/relationships/hyperlink" Target="https://dalil.kg/document/302507" TargetMode="External"/><Relationship Id="rIdaecehnqlzyrfwonnw7foz" Type="http://schemas.openxmlformats.org/officeDocument/2006/relationships/hyperlink" Target="https://dalil.kg/document/302508" TargetMode="External"/><Relationship Id="rIddtactt0kuddd0kmparp0d" Type="http://schemas.openxmlformats.org/officeDocument/2006/relationships/hyperlink" Target="https://dalil.kg/document/302508" TargetMode="External"/><Relationship Id="rIdtwp-lh0eg6doriogym6uf" Type="http://schemas.openxmlformats.org/officeDocument/2006/relationships/hyperlink" Target="https://dalil.kg/document/302507"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po4emstuzgvdigdpw_ay" Type="http://schemas.openxmlformats.org/officeDocument/2006/relationships/hyperlink" Target="https://dalil.kg/document/230042750" TargetMode="External"/><Relationship Id="rIdqjcuvyd2q1hzjznsnvip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2026-09-26T11:43:41.510Z</dcterms:created>
  <dcterms:modified xsi:type="dcterms:W3CDTF">2026-09-26T11:43:41.510Z</dcterms:modified>
</cp:coreProperties>
</file>

<file path=docProps/custom.xml><?xml version="1.0" encoding="utf-8"?>
<Properties xmlns="http://schemas.openxmlformats.org/officeDocument/2006/custom-properties" xmlns:vt="http://schemas.openxmlformats.org/officeDocument/2006/docPropsVTypes"/>
</file>