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73kk5xyduz4hqqhwj4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26 января 2026 года № 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формированию, рассмотрению и исполнению среднесрочных стратегий бюджетных расходов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со </w:t>
      </w:r>
      <w:hyperlink w:history="1" r:id="rId2vu1wzlpu9tsds8tqk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устанавливает порядок формирования (разработки/обновления), а также рассмотрения среднесрочных стратегий бюджетных расходов (далее - ССБР) главными распорядителями бюджетных средств (далее - ГРБС). ГРБС формирующие ССБР определяются Перечнем государственных органов исполнительной власти, представляющих ССБР, утверждаемый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ССБР определяют стратегическую цель и задачи сектора/отрасли, бюджетные программы, а также показатели результатов деятельности государственных органов, уполномоченных проводить государственную политику в соответствующем секторе/отрасли.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ССБР ежегодно формируются, обновляются и уточняются как часть документа "Основные направления фискальной политики Кыргызской Республики". ССБР предназначены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объективной оценки ситуации в секторе/отрасли и формирования прогнозов развития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новых инициатив и направлений по развитию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создания основы для формирования проекта бюджета на очередной бюджетный год и прогнозируемый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и рассмотрение проекта ССБР осуществляются по графику, приведенному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ежегодного цикла формирования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092"/>
        <w:gridCol w:w="1234"/>
        <w:gridCol w:w="161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Этапы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подготовки проекта ССБР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проекта ССБР на официальном веб-сайте ГРБС и оповещение о проведении общественных слушаний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по проекту ССБР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ССБР в УГО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согласование финансовых параметров проекта ССБР с УГО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ГРБС, 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представленных проектов ССБР для включения в проект документа "Основные направления фискальной политики на среднесрочный период" (далее - ОНФП)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ОНФП и материалов по имеющимся разногласиям в Совет Кабинета Министров Кыргызской Республики по фискальной и инвестиционной политике Кыргызской Республики (далее - Совет Кабинета Министров)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полугодия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проекта ОНФП и устранение разногласий по контрольным цифрам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календарных дней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ОНФП Советом Кабинета Министров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ОНФП на официальном веб-сайте УГО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рабочих дней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бюджетной программы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ГРБС, несущее ответственность за координацию процесса планирования и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подпрограмма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бюджетной программы, представляющая собой виды деятельности (мероприятия, проекты, постоянно выполняемые функции, регулярные закупки), напрямую способствующие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программа</w:t>
      </w:r>
      <w:r>
        <w:rPr>
          <w:rFonts w:ascii="Arial" w:cs="Arial" w:eastAsia="Arial" w:hAnsi="Arial"/>
          <w:sz w:val="24"/>
          <w:szCs w:val="24"/>
        </w:rPr>
        <w:t xml:space="preserve"> - комплекс взаимосвязанных подпрограмм, направленных на достижение результатов, связанных с целями национальной стратегии и/или стратегических/программных документов развития, и/или функциями государственного управления/местного самоуправления, обеспечиваемые бюджетными средствами. Бюджетная программа направлена на выполнение одной из задач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результативности</w:t>
      </w:r>
      <w:r>
        <w:rPr>
          <w:rFonts w:ascii="Arial" w:cs="Arial" w:eastAsia="Arial" w:hAnsi="Arial"/>
          <w:sz w:val="24"/>
          <w:szCs w:val="24"/>
        </w:rPr>
        <w:t xml:space="preserve"> - показатели, характеризующие степень достижения запланированных результатов или конкретное состояние сектора/отрасли. Показатели результативности используются в качестве ориентиров для достижения целей сектора/отрасли или в качестве критериев оценки деятельности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стратегическая цель</w:t>
      </w:r>
      <w:r>
        <w:rPr>
          <w:rFonts w:ascii="Arial" w:cs="Arial" w:eastAsia="Arial" w:hAnsi="Arial"/>
          <w:sz w:val="24"/>
          <w:szCs w:val="24"/>
        </w:rPr>
        <w:t xml:space="preserve"> - конкретное состояние сектора/отрасли, достижение которого является желательным с общественной точки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прогнозные показатели</w:t>
      </w:r>
      <w:r>
        <w:rPr>
          <w:rFonts w:ascii="Arial" w:cs="Arial" w:eastAsia="Arial" w:hAnsi="Arial"/>
          <w:sz w:val="24"/>
          <w:szCs w:val="24"/>
        </w:rPr>
        <w:t xml:space="preserve"> - показатели прогнозируемого периода, закрепленные законом о республиканском бюджете в предыдущем цикле формирования республиканского бюджета (прогнозные показатели), на основании которого осуществляется распределение бюджетных средств по программам при формировании ССБР;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структура</w:t>
      </w:r>
      <w:r>
        <w:rPr>
          <w:rFonts w:ascii="Arial" w:cs="Arial" w:eastAsia="Arial" w:hAnsi="Arial"/>
          <w:sz w:val="24"/>
          <w:szCs w:val="24"/>
        </w:rPr>
        <w:t xml:space="preserve"> - перечень бюджетных программ и составляющих их бюджетных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(УГО)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прогнозированию и исполнению бюджета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ГРБС создают рабочую группу из представителей профильных, стратегических, экономических и финансовых подразделений и подведомственных организаций (далее - рабочая группа). Рабочую группу возглавляет заместитель министра ГРБС (далее - заместитель министра) или руководитель аппарата ГРБС. Рабочая группа исполняет основную функцию по формированию ССБР сектора/отрасли, политику которых определяют ГРБС. ГРБС в срок до 20 марта очередного бюджетного года направляют в уполномоченный государственный орган копию ведомственного акта о создании рабочей группы, а также контактные данные администраторов бюджетных программ и ответственного сотрудника, осуществляющего взаимодействие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ГРБС отвечают за управление и реализацию политики в нескольких секторах/отраслях, то они разрабатывают несколько ССБР для каждого отдельного сектора/отрасли. Рабочая группа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организация работы по формированию/обновлению проекта ССБР;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обсуждение ключевых вопросов, формулировка бюджетных программ, принятие решений по приоритетам в распределении бюджетных расходов по бюджетным программам, определение ожидаемых результатов от реализации бюджетных программ, подготовка и представление проекта ССБР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в управлении и реализации политики сектора/отрасли задействовано несколько государственных органов, создаются межведомственные рабочие группы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рабочей группы осуществляется в соответствии с графиком работы, приведенным в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685"/>
        <w:gridCol w:w="6860"/>
        <w:gridCol w:w="139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</w:t>
            </w:r>
          </w:p>
        </w:tc>
        <w:tc>
          <w:tcPr>
            <w:tcW w:type="dxa" w:w="6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процесса подготовки проекта ССБР</w:t>
            </w:r>
          </w:p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ведомственным актом состава рабочей группы. Назначение сотрудника, ответственного за взаимодействие с уполномоченным государственным органом по вопросам подготовки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марта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уполномоченный государственный орган копии ведомственного акта о создании рабочей группы, а также контактных данных администраторов бюджетных программ и ответственного сотрудника, осуществляющего контакт с уполномоченным государственным органом по вопросам подготовки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марта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рабочей группы по обсуждению основных направлений отраслевой политики, определению бюджетных программ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марта очередного бюджетного года</w:t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разработки ССБР</w:t>
            </w:r>
          </w:p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бюджетных программ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марта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администраторами бюджетных программ описательной части бюджетных программ по форме согласно </w:t>
            </w:r>
            <w:hyperlink w:history="1" r:id="rIdxwmw1gxcmjpnzhvbeda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приложению 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Инструкции для обсуждения на заседании рабочей группы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администраторами бюджетных программ предложений по показателям результативности для бюджетных программ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согласование бюджетных программ, показателей результативности бюджетных программ на заседаниях рабочей группы с участием представителей гражданского общества либо общественного совета (при наличии)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5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ССБР по форме согласно </w:t>
            </w:r>
            <w:hyperlink w:history="1" r:id="rIdntrxwzegmgo9nrqvqft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приложению 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Инструкции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обсуждение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мая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 ССБР с учетом замечаний и предложений по итогам проведения общественных слушаний по проекту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мая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проекта ССБР руководителем ГРБС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 мая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ССБР в уполномоченный государственный орган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 очередного бюджетного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ССБР одобряется руководителем ГРБС до представления в уполномоченный государственный орган. Для секторов/отраслей, в управлении и реализации политики которых задействовано несколько ГРБС, проект ССБР одобряется подписями 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ССБР представляется в уполномоченный государственный орган в срок до 15 мая текущего года на государственном и официальном языках согласно приложениям </w:t>
      </w:r>
      <w:hyperlink w:history="1" r:id="rIdddpuzb0uqkfotkpruo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dvfaxakg5ytwikj9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Электронные форматы документов для заполнения предоставляются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Пакет документов по проекту ССБР формируется и представляется в уполномоченный государственный орган в соответствии с </w:t>
      </w:r>
      <w:hyperlink w:history="1" r:id="rIdv3_ngtlnrtxia2eqld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Ресурсная основа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Ресурсной основой формирования проекта ССБР являются показатели прогнозируемого периода, закрепленные законом Кыргызской Республики о республиканском бюджете в предыдущем цикле формирования республиканского бюджета (прогнозные показатели).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сумма расходов по бюджетным программам, представленным в проекте ССБР, должна соответствовать прогнозным показателям по ГРБС, с учетом структурных изменений, произошедших с момента утверждения прогнозных показателей. Отклонения от прогнозных показателей не могут превышать 10 процентов. В первую очередь, такие отклонения должны включать новые текущие расходы по обеспечению деятельности активов, созданных в результате реализации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Отклонения подлежат обсуждению с уполномоченным государственным органом. В случае формирования проекта ССБР совместно с несколькими ГРБС общая сумма расходов по бюджетным программам, представленным в ССБР, должна соответствовать общей сумме прогнозных показателей по ГРБС, формирующих ССБР, с учетом структурных изменений, произошедших с момента утверждения прогнозных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Новые бюджетные программы, требующие дополнительного финансирования, выходящего за рамки прогнозных показателей, представляются ГРБС в ССБР в виде сценария бюджетной программы с определением подпрограмм. Новые бюджетные программы, требующие дополнительного финансирования, включенные в ССБР в виде сценария, и их стоимость отображаются только в текстовой части ССБР.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внебюджетных источников финансирования программ (подтвержденные средства партнеров по развитию, средства фондов развития), частных средств, а также средств других бюджетов бюджетной системы, направленных на достижение цели программы, вышеуказанные средства указываются в текстовой части ССБР по каждой бюджетной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 когда ГРБС, вовлеченные в реализацию бюджетной программы, являются не единственными исполнителями, в текстовой части ССБР отражается подробная информация о соисполнителях, их роли в достижении ожидаемых результатов бюджетной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Формат и порядок подготовки проекта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Процесс формирования проекта ССБР состоит из следующих шагов: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стратегической цели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задач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формулирование/обновление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распределение финансовых средств по бюджетным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показателей результативности для каждой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шаг процесса формирования проекта ССБР сопровождается описанием. Требования к содержанию и описанию разделов ССБР изложены в </w:t>
      </w:r>
      <w:hyperlink w:history="1" r:id="rId0wz5nso3oyru2zbc9gr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Описание сектора/отрасли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Процесс разработки проекта ССБР начинается с описания сектора/отрасли, к которой относится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требованиями к описанию сектора/отрасли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особенностей (масштаб и основные составляющие) и состояния (проблемы и достижения) сектора/отрасли на момент формирования проекта ССБР, с приведением краткой статистики за последний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роль ГРБС в определении и реализации политики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Описание сектора/отрасли представляется в ССБР по форме согласно </w:t>
      </w:r>
      <w:hyperlink w:history="1" r:id="rIdrpfdfstlxyrphgp9gv1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Определение стратегической цели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ГРБС должны сформулировать стратегическую цель сектора/отрасли. В случаях когда ГРБС не относятся к конкретному сектору/отрасли, формулируется стратегическая цель организации. Если стратегическая цель сектора/отрасли уже была сформирована ранее и была согласована с уполномоченным государственным органом, то она остается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формулировке стратегической цели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четкость, определенность и краткость формулировки;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достижимость и измеримость (предпочтительно);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отражение общественной значимости/выгоды от деятельности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направленность на достижение конкретного результата, а не на процесс.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Формулировка стратегической цели должна быть понятной и не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специальных терминов и аббревиатур, затрудняющих ее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терминов, понятий и выражений, которые допускают произвольное или неоднозначное толкование;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указаний на иные цели, задачи, эффекты или результаты, которые являются следствием достижения самой стратегической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описания средств и методов достижения стратегической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Стратегическая цель сектора/отрасли вносится в раздел "Стратегическая цель" ССБР по форме согласно </w:t>
      </w:r>
      <w:hyperlink w:history="1" r:id="rId4z1y6oank0p29tstt-v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Определение задач сектора/отрасли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Задачи сектора/отрасли должны быть направлены на достижение стратегической цели и отражать основные приоритетные направления деятельности. Задачи сектора/отрасли являются основой для определения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Задачи сектора/отрасли должны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задачи должны соответствовать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формулировка задач должна быть краткой и четкой без специальных терминов и аббревиатур, затрудняющих их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задачи не должны дублировать формулировку стратегической цели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задач не должно быть большим (рекомендуется не более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совокупность задач сектора/отрасли по отношению к цели сектора/отрасли должна отвечать принципам необходимости (решение каждой задачи является необходимым условием достижения цели) и достаточности (решение всех задач является достаточным условием достижения цели);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недопустима постановка задач, направленных на обеспечение деятельности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задач не должен дублировать перечень функций из положения, регулирующего деятельность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задач не должно рассматриваться решение проблем финансирования сектора/отрасли.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задачи сектора/отрасли уже были сформированы ранее и приняты уполномоченным государственным органом, то они остаются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Сформулированные задачи представляются в виде перечня задач в разделе "Задачи" по форме согласно </w:t>
      </w:r>
      <w:hyperlink w:history="1" r:id="rIdvuhoppd_qaw1w7t658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Формулирование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Взаимосвязанные основные направления деятельности ГРБС группируются в бюджетные программы в соответствии с объединяющими их задачами сектора/отрасли.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каждой бюджетной программы должна быть определена цель, которая формулируется четко и лаконично, является конкретной, достижимой, измеримой, ориентированной на внешнего потребителя услуг сектора/отрасли, направленной на достижение результата. Формулировка цели не должна содержать специальных терминов и аббревиатур, затрудняющих ее понимание.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каждой бюджетной программы определяется ожидаемый результат, который формулируется кратко, понятно, с указанием значения планового показателя в среднесрочном или долгосрочном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формулировке бюджетных программ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государственной политики в секторе/отрасли и четкая взаимосвязь с приоритетами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направленность бюджетной программы на решение одной из задач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краткость названия бюджетных программ без применения специальных терминов и аббревиатур, затрудняющих их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количества бюджетных программ (количество бюджетных программ не может быть меньше количества задач сектора и не должно быть чрезмерно большим);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устойчивость программной структуры во времени. Новые бюджетные программы/подпрограммы включаются по согласованию с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деятельность по проведению реформ и инвестиционные проекты, финансируемые в рамках бюджета ГРБС, не могут определяться в качестве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либо увеличение объемов финансирования не является программой;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бюджетная программа должна быть общественно значимой - показывать выгоды от деятельности ГРБС и не должна быть направлена на решение проблем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бюджетные программы сектора/отрасли уже сформулированы ранее 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преобразования в Кабинете Министров Кыргызской Республики и внутри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кардинальный пересмотр функций ГРБС как следствие процесса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программной структуры (объединение мелких программ или дезагрегация крупных);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программной структуры с задачами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оценки результативности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международных обязательств и реализация донорских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законодательной и нормативной базе, затрагивающие содержательную часть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перечне бюджетных программ отражается стандартная программа "Управление и администрирование", охватывающая функции подразделений, расходы которых сложно распределить по основным бюджетным программам. Реализация данной программы оказывает координирующее и организационное воздействие на реализацию других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бюджетной программе "Управление и администрирование" относятся: высшее руководство; финансовая служба; подразделения, ответственные за осуществление мониторинга и контроля; управление человеческими ресурсами; подразделения международного сотрудничества; юридическая служба; внутренний аудит; службы по связям с общественностью, пресс-секретари и т.п. Не допускается отнесение к данной программе всех расходов, осуществляемых центральным аппаратом ГРБС. Территориальные подразделения ГРБС, выполняющие несколько функций, относящихся к разным бюджетным программам/подпрограммам, указываются в виде одной бюджетной подпрограммы в бюджетной программе "Управление и администрирование".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Бюджетная программа "Управление и администрирование" указывается первой в списке.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Сформулированные бюджетные программы вносятся в раздел "Бюджетные программы" по форме, приведенной в </w:t>
      </w:r>
      <w:hyperlink w:history="1" r:id="rId9ocwjzfy7evfxu5-vf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а также в таблице "Анализ финансирования бюджетных программ" по форме, приведенной в </w:t>
      </w:r>
      <w:hyperlink w:history="1" r:id="rIdc56sqyj-kjjpaps3ka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При заполнении таблицы необходимо указывать коды бюджетных программ, соответствующие кодам программной бюджетной классификации. В случае отсутствия кода программной бюджетной классификации бюджетная программа указывается как "новая программа" для последующего присвоения ей кода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значительного изменения программной структуры формируемого проекта ССБР в сравнении с программной структурой, представленной в предыдущем цикле формирования бюджета, представляется обоснование вносимых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Распределение средств по бюджетным программам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Прогнозные показатели бюджета ГРБС должны быть распределены в ССБР по бюджетным программам. Расчет расходов по бюджетным программам должен быть основан на определении стоимости бюджетных подпрограмм. Для этого администраторы бюджетных программ используют показатели стоимости бюджетных подпрограмм, рассчитанных в ходе прошлогоднего цикла формирования бюджетных заявок в программном формате, с корректировками (при необходимости) в пределах 10 процентов их стоимости. Распределение средств по новым бюджетным подпрограммам определяется исходя из предварительных расчетов на основе методики, утвержденной для формирования бюджетов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расчетов вносятся в таблицу "Анализ финансирования бюджетных программ" по форме, приведенной в </w:t>
      </w:r>
      <w:hyperlink w:history="1" r:id="rId_iwdtiks7aqjdkuqied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Внебюджетные источники финансирования программ указываются в ССБР по каждой программе в таблице "Анализ финансирования бюджетных программ" отдельно от средств, выделяемых из республиканского бюджета. Итоговая сумма по всем внебюджетным источникам указывается отдельной строкой "Итого за счет внебюджетных источников".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Определение показателей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каждой бюджетной программы определяются измеримые ожидаемые результаты. Для их описания применяются показатели результативности. Отбор показателей результативности осуществляется с учетом требований методики, утвержденной в Инструкции по формированию, рассмотрению и исполнению бюджетов на программной основе, утверждаемой Кабинетом Министров Кыргызской Республики. Наименования показателей результативности бюджетных программ/подпрограмм должны оставаться стабильными во времени, т.е. если показатели результативности уже были сформулированы ранее в программном бюджете ГРБС 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бюджетных программ/подпрограмм;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показателей результативности осуществляются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Ожидаемые результаты бюджетных программ отражаются в текстовой части ССБР и в таблице "Анализ финансирования бюджетных программ" по форме согласно </w:t>
      </w:r>
      <w:hyperlink w:history="1" r:id="rIdxtj-dbwqbzjnb95ivsp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рассмотрения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Проекты ССБР и показатели результативности бюджетных программ подлежат общественному обсуждению в срок не позднее 25 апреля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итогам проведения общественных слушаний ГРБС формируют протокол общественного обсуждения, матрицу учета замечаний и предложений по итогам общественного обсуждения проекта ССБР. Протокол общественного обсуждения представляется в уполномоченный государственный орган вместе с проектом ССБР.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Проект ССБР рассматривается и одобряется руководителем ГРБС для представления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рассматривает проекты ССБР на предмет соответствия требованиям настоящей Инструкции и методики, утвержденной для формирования бюджетов на программной основе (в части распределения средств по бюджетным программам), и в случае несоответствия изложенным требованиям, возвращает представленный проект ССБР на доработку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ГРБС дорабатывают проект ССБР с учетом замечаний и предложений уполномоченного государственного органа. Доработанный проект ССБР представляется в уполномоченный государственный орган в течение трех рабочих дней со дня его направления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Свод представленных ССБР для включения в проект ОНФП обеспечивается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Исполнение среднесрочных стратегий ГРБС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ССБР исполняются ГРБС посредством исполнения программного бюджета, рассмотренного и исполненного в соответствии с Инструкцией о порядке формирования, рассмотрения и исполнения бюджетов на программной основе, утверждаемой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по формированию, рассмотрению и исполнению среднесрочных стратегий бюджетных расходов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СРЕДНЕСРОЧНАЯ СТРАТЕГИЯ
 бюджетных расходов на 20___-20___ гг.
 по сектору/отрасли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(стандартное описание необходимости составления ССБР): "Настоящий документ является официальной среднесрочной (охватывающей трехлетний период с 20___ г. по 20___ г.) стратегией бюджетных расходов, которая включена в проект "Основные направления фискальной политики Кыргызской Республики на 20___-20___ гг".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представляет бюджетные программы в рамках реализации политики сектора/отрасли и их финансирование в пределах запланированных для этого средств республиканского бюджета, а также подтвержденные внебюджетные источники финансирования.".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сектора/отрасли: краткое описание специфики сектора/отрасли (3-4 абзаца), краткая отраслевая статистика, проблематика и развитие).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роли ГРБС в управлении сектором/отраслью и его развитии (1 абзац).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Стратегическая цель сектора/отрасли (долгосрочная, общественно-значимая, понятная, измеримая); (максимум 1 абзац - цель и очень краткое пояснение, если необходимо).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сектора/отрасли (среднесрочные, общественно значимые, согласующиеся с национальными и отраслевыми программами развития); (перечисление задач в нескольких пунктах; задач не должно быть много - максимум 4-5 (необходимо помнить о том, что количество задач не может превышать количество бюджетных программ), можно привести пояснения (1-2 абзаца). Не допускается постановка задач, направленных на обеспечение деятельности ГРБС, увеличение бюджетных ассигнований.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программы (наименование; указание кода бюджетной программы в бюджетной классификации; указание номера задачи сектора/отрасли, которую решает программа; очень краткое описание (1-2 абзаца) - информация о текущей ситуации по данному направлению и актуальность программы), (количество программ не должно быть меньше количества задач сектора/отрасли. Несколько программ могут решать одну задачу, но одна программа не может относиться к нескольким задачам).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Первой в списке бюджетных программ должна быть стандартная бюджетная программа "Управление и администрирование". В этой программе должны группироваться административные расходы структурных, территориальных и подведомственных подразделений, которые сложно распределить по основным бюджетным программам.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описания каждой бюджетной программы приводится предполагаемый перечень бюджетных подпрограмм (перечень без описания). За реализацию одной бюджетной подпрограммы отвечает одна организация или подразделение.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Сценарии: в случае если новая бюджетная подпрограмма планируется за счет изменения политики, появляется впервые в программной структуре бюджета ГРБС и требует дополнительного финансирования сверх установленных для ГРБС прогнозных показателей, информация по такой бюджетной подпрограмме представляется в описании соответствующей бюджетной программы в следующем формате: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50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код бюджетной программы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новой бюджетной подпрограммы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обоснование новой инициативы (необходимость и общественная полезность, ссылка на стратегию национального уровня/инициативу Президента Кыргызской Республики, Кабинета Министров Кыргызской Республики, отраслевую стратегию развития)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финансирования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Х+1
 (план)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Х+2
 (прогноз)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Х+3
 (прогноз)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Государственные инвестиции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1 (единица измерения)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2 (единица измерения)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комментарии (если необходимо)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перечисляются ожидаемые результаты реализации бюджетной программы в среднесрочном периоде. Ожидаемый результат должен быть измеримым и реалистичным и иметь социальную значимость. Показатели результативности бюджетных подпрограмм на данном этапе не определяются.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Финансовый план (стоимость бюджетных программ, включая бюджетные ассигнования, специальные средства, государственные инвестиции, внебюджетные источники). Описывается общий объем расходов по бюджетным программам сектора/отрасли и существенные изменения в его динамике за прошлые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 когда ГРБС, вовлеченные в реализацию бюджетной программы, являются не единственными исполнителями, необходимо указать информацию о соисполнителях, их роли в достижении ожидаемых результатов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по формированию, рассмотрению и исполнению среднесрочных стратегий бюджетных расходов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АНАЛИЗ
 финансирования бюджетных программ по сектору/отрасли ____________________ на 20___-20___ гг.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ГРБС (полное наименование)
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413"/>
        <w:gridCol w:w="415"/>
        <w:gridCol w:w="4658"/>
        <w:gridCol w:w="1044"/>
        <w:gridCol w:w="1044"/>
        <w:gridCol w:w="1044"/>
        <w:gridCol w:w="1087"/>
      </w:tblGrid>
      <w:tr>
        <w:tc>
          <w:tcPr>
            <w:tcW w:type="dxa" w:w="4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ЦУР</w:t>
            </w:r>
          </w:p>
        </w:tc>
        <w:tc>
          <w:tcPr>
            <w:tcW w:type="dxa" w:w="4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ПП</w:t>
            </w:r>
          </w:p>
        </w:tc>
        <w:tc>
          <w:tcPr>
            <w:tcW w:type="dxa" w:w="46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подпрограммы</w:t>
            </w:r>
          </w:p>
        </w:tc>
        <w:tc>
          <w:tcPr>
            <w:tcW w:type="dxa" w:w="31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программам/подпрограммам)
 (тыс. сомов)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
 План.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
 План.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
 План.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координирующее и организационное воздействие на реализацию других программ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"Управление и администрирование", из них: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2, из них: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всем программам, из них: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из республиканского бюджета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счет внебюджетных источников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по формированию, рассмотрению и исполнению среднесрочных стратегий бюджетных расходов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проекту среднесрочной стратегии бюджетных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Текст проекта среднесрочной стратегии бюджетных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1. Анализ финансирования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 общественного обсуждения проекта среднесрочной стратегии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pdu5a5n3togyy0x1f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dalil.kg/document/230043223</w:t>
      </w:r>
    </w:hyperlink>
  </w:p>
  <w:p>
    <w:pPr>
      <w:spacing w:after="0" w:before="40"/>
      <w:jc w:val="center"/>
    </w:pPr>
    <w:hyperlink w:history="1" r:id="rIddcfc0apkkvwqechwyxb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3kk5xyduz4hqqhwj4qb" Type="http://schemas.openxmlformats.org/officeDocument/2006/relationships/hyperlink" Target="https://dalil.kg/document/230039017" TargetMode="External"/><Relationship Id="rId2vu1wzlpu9tsds8tqkocj" Type="http://schemas.openxmlformats.org/officeDocument/2006/relationships/hyperlink" Target="https://dalil.kg/document/111338#st_84" TargetMode="External"/><Relationship Id="rIdxwmw1gxcmjpnzhvbedalt" Type="http://schemas.openxmlformats.org/officeDocument/2006/relationships/hyperlink" Target="https://dalil.kg/document/230043223#pr_1" TargetMode="External"/><Relationship Id="rIdntrxwzegmgo9nrqvqftzp" Type="http://schemas.openxmlformats.org/officeDocument/2006/relationships/hyperlink" Target="https://dalil.kg/document/230043223#pr_1" TargetMode="External"/><Relationship Id="rIdddpuzb0uqkfotkpruojuz" Type="http://schemas.openxmlformats.org/officeDocument/2006/relationships/hyperlink" Target="https://dalil.kg/document/230043223#pr_1" TargetMode="External"/><Relationship Id="rIdkhdvfaxakg5ytwikj9uoh" Type="http://schemas.openxmlformats.org/officeDocument/2006/relationships/hyperlink" Target="https://dalil.kg/document/230043223#pr_2" TargetMode="External"/><Relationship Id="rIdv3_ngtlnrtxia2eqldioj" Type="http://schemas.openxmlformats.org/officeDocument/2006/relationships/hyperlink" Target="https://dalil.kg/document/230043223#pr_3" TargetMode="External"/><Relationship Id="rId0wz5nso3oyru2zbc9grva" Type="http://schemas.openxmlformats.org/officeDocument/2006/relationships/hyperlink" Target="https://dalil.kg/document/230043223#pr_1" TargetMode="External"/><Relationship Id="rIdrpfdfstlxyrphgp9gv1oz" Type="http://schemas.openxmlformats.org/officeDocument/2006/relationships/hyperlink" Target="https://dalil.kg/document/230043223#pr_1" TargetMode="External"/><Relationship Id="rId4z1y6oank0p29tstt-vrj" Type="http://schemas.openxmlformats.org/officeDocument/2006/relationships/hyperlink" Target="https://dalil.kg/document/230043223#pr_1" TargetMode="External"/><Relationship Id="rIdvuhoppd_qaw1w7t658z2p" Type="http://schemas.openxmlformats.org/officeDocument/2006/relationships/hyperlink" Target="https://dalil.kg/document/230043223#pr_1" TargetMode="External"/><Relationship Id="rId9ocwjzfy7evfxu5-vfdgm" Type="http://schemas.openxmlformats.org/officeDocument/2006/relationships/hyperlink" Target="https://dalil.kg/document/230043223#pr_1" TargetMode="External"/><Relationship Id="rIdc56sqyj-kjjpaps3kaiek" Type="http://schemas.openxmlformats.org/officeDocument/2006/relationships/hyperlink" Target="https://dalil.kg/document/230043223#pr_2" TargetMode="External"/><Relationship Id="rId_iwdtiks7aqjdkuqiedq7" Type="http://schemas.openxmlformats.org/officeDocument/2006/relationships/hyperlink" Target="https://dalil.kg/document/230043223#pr_2" TargetMode="External"/><Relationship Id="rIdxtj-dbwqbzjnb95ivspy1" Type="http://schemas.openxmlformats.org/officeDocument/2006/relationships/hyperlink" Target="https://dalil.kg/document/230043223#pr_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pdu5a5n3togyy0x1ffz" Type="http://schemas.openxmlformats.org/officeDocument/2006/relationships/hyperlink" Target="https://dalil.kg/document/230043223" TargetMode="External"/><Relationship Id="rIddcfc0apkkvwqechwyxb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2026-09-24T21:17:08.881Z</dcterms:created>
  <dcterms:modified xsi:type="dcterms:W3CDTF">2026-09-24T21:17:08.881Z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