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zbld6xlbeih_lnjo2a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января 2026 года № 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формированию, рассмотрению и исполнению среднесрочных стратегий бюджетных расходов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hyperlink w:history="1" r:id="rIdigxqkcqfbjhy70kkvb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формирования (разработки/обновления), а также рассмотрения среднесрочных стратегий бюджетных расходов (далее - ССБР) главными распорядителями бюджетных средств (далее - ГРБС). ГРБС формирующие ССБР определяются Перечнем государственных органов исполнительной власти, представляющих ССБР, утверждаемый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ССБР определяют стратегическую цель и задачи сектора/отрасли, бюджетные программы, а также показатели результатов деятельности государственных органов, уполномоченных проводить государственную политику в соответствующем секторе/отрасли.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ССБР ежегодно формируются, обновляются и уточняются как часть документа "Основные направления фискальной политики Кыргызской Республики". ССБР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объективной оценки ситуации в секторе/отрасли и формирования прогнозов развития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новых инициатив и направлений по развитию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основы для формирования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рассмотрение проекта ССБР осуществляются по графику, приведенному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ежегодного цикла формирования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092"/>
        <w:gridCol w:w="1234"/>
        <w:gridCol w:w="161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подготовки проекта ССБР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проекта ССБР на официальном веб-сайте ГРБС и оповещение о проведении общественных слушаний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проекту ССБР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ССБР в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финансовых параметров проекта ССБР с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ГРБС, 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представленных проектов ССБР для включения в проект документа "Основные направления фискальной политики на среднесрочный период" (далее - ОНФП)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 очередного бюджетного года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проекта ОНФП и материалов по имеющимся разногласиям в Совет Кабинета Министров Кыргызской Республики по фискальной и инвестиционной политике Кыргызской Республики (далее - Совет Кабинета Министров)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полугодия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ОНФП и устранение разногласий по контрольным цифрам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календарных дней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ОНФП Советом Кабинета Министров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Кабинета Министров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ОНФП на официальном веб-сайте УГО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рабочих дней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бюджетной программы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ГРБС, несущее ответственность за координацию процесса планирования и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подпрограмма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подпрограмм, направленных на достижение результатов, связанных с целями национальной стратегии и/или стратегических/программных документов развития, и/или функциями государственного управления/местного самоуправления, обеспечиваемые бюджетными средствами. Бюджетная программа направлена на выполнение одной из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показатели, характеризующие степень достижения запланированных результатов или конкретное состояние сектора/отрасли. Показатели результативности используются в качестве ориентиров для достижения целей сектора/отрасли или в качестве критериев оценки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- конкретное состояние сектора/отрасли, достижение которого является желательным с общественной точки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прогнозные показатели</w:t>
      </w:r>
      <w:r>
        <w:rPr>
          <w:rFonts w:ascii="Arial" w:cs="Arial" w:eastAsia="Arial" w:hAnsi="Arial"/>
          <w:sz w:val="24"/>
          <w:szCs w:val="24"/>
        </w:rPr>
        <w:t xml:space="preserve"> - показатели прогнозируемого периода, закрепленные законом о республиканском бюджете в предыдущем цикле формирования республиканского бюджета (прогнозные показатели), на основании которого осуществляется распределение бюджетных средств по программам при формировании ССБР;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составляющих их бюджетных 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(УГО)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ГРБС создают рабочую группу из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заместитель министра ГРБС (далее - заместитель министра) или руководитель аппарата ГРБС. Рабочая группа исполняет основную функцию по формированию ССБР сектора/отрасли, политику которых определяют ГРБС. ГРБС в срок до 20 марта очередного бюджетного года направляют в уполномоченный государственный орган копию ведомственного акта о создании рабочей группы, а также контактные данные администраторов бюджетных программ и ответственного сотрудника, осуществляющего взаимодействие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ГРБС отвечают за управление и реализацию политики в нескольких секторах/отраслях, то они разрабатывают несколько ССБР для каждого отдельного сектора/отрасли. Рабочая группа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работы по формированию/обновлению проекта ССБР;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обсуждение ключевых вопросов, формулировка бюджетных программ, принятие решений по приоритетам в распределении бюджетных расходов по бюджетным программам, определение ожидаемых результатов от реализации бюджетных программ, подготовка и представление проекта ССБР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в управлении и реализации политики сектора/отрасли задействовано несколько государственных органов, создаются межведомственные рабочие группы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рабочей группы осуществляется в соответствии с графиком работы, приведенным в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685"/>
        <w:gridCol w:w="6860"/>
        <w:gridCol w:w="139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</w:t>
            </w:r>
          </w:p>
        </w:tc>
        <w:tc>
          <w:tcPr>
            <w:tcW w:type="dxa" w:w="6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процесса подготовки проекта ССБР</w:t>
            </w:r>
          </w:p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ведомственным актом состава рабочей группы. Назначение сотрудника, ответственного за взаимодействие с уполномоченным государственным органом по вопросам подготовки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уполномоченный государственный орган копии ведомственного акта о создании рабочей группы, а также контактных данных администраторов бюджетных программ и ответственного сотрудника, осуществляющего контакт с уполномоченным государственным органом по вопросам подготовки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рабочей группы по обсуждению основных направлений отраслевой политики, определению бюджетных программ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марта очередного бюджетного года</w:t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разработки ССБР</w:t>
            </w:r>
          </w:p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бюджетных программ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марта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администраторами бюджетных программ описательной части бюджетных программ по форме согласно </w:t>
            </w:r>
            <w:hyperlink w:history="1" r:id="rIdljvynkhb8xulifkm7hm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Инструкции для обсуждения на заседании рабочей группы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администраторами бюджетных программ предложений по показателям результативности для бюджетных программ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согласование бюджетных программ, показателей результативности бюджетных программ на заседаниях рабочей группы с участием представителей гражданского общества либо общественного совета (при наличии)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5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ССБР по форме согласно </w:t>
            </w:r>
            <w:hyperlink w:history="1" r:id="rIdj3clexvmnrcyq7tgfjk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Инструкции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апреля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обсуждение проекта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ССБР с учетом замечаний и предложений по итогам проведения общественных слушаний по проекту ССБР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ССБР руководителем ГРБС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 мая очередного бюджетного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ССБР в уполномоченный государственный орган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мая очередного бюджетного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ССБР одобряется руководителем ГРБС до представления в уполномоченный государственный орган. Для секторов/отраслей, в управлении и реализации политики которых задействовано несколько ГРБС, проект ССБР одобряется подписями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ССБР представляется в уполномоченный государственный орган в срок до 15 мая текущего года на государственном и официальном языках согласно приложениям </w:t>
      </w:r>
      <w:hyperlink w:history="1" r:id="rIdqzsbxsyymyaoisesok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zaskilhblbqygaqq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Электронные форматы документов для заполнения предоставляются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ССБР формируется и представляется в уполномоченный государственный орган в соответствии с </w:t>
      </w:r>
      <w:hyperlink w:history="1" r:id="rIdeiles7x7zg_0-yubuc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Ресурсная основа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Ресурсной основой формирования проекта ССБР являются показатели прогнозируемого периода, закрепленные законом Кыргызской Республики о республиканском бюджете в предыдущем цикле формирования республиканского бюджета (прогнозные показатели).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программам, представленным в проекте ССБР, должна соответствовать прогнозным показателям по ГРБС, с учетом структурных изменений, произошедших с момента утверждения прогнозных показателей. Отклонения от прогнозных показателей не могут превышать 10 процентов. В первую очередь, такие отклонения должны включать новые текущие расходы по обеспечению деятельности активов, созданных в результате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Отклонения подлежат обсуждению с уполномоченным государственным органом. В случае формирования проекта ССБР совместно с несколькими ГРБС общая сумма расходов по бюджетным программам, представленным в ССБР, должна соответствовать общей сумме прогнозных показателей по ГРБС, формирующих ССБР, с учетом структурных изменений, произошедших с момента утверждения прогнозных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Новые бюджетные программы, требующие дополнительного финансирования, выходящего за рамки прогнозных показателей, представляются ГРБС в ССБР в виде сценария бюджетной программы с определением подпрограмм. Новые бюджетные программы, требующие дополнительного финансирования, включенные в ССБР в виде сценария, и их стоимость отображаются только в текстовой части ССБР.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наличии внебюджетных источников финансирования программ (подтвержденные средства партнеров по развитию, средства фондов развития), частных средств, а также средств других бюджетов бюджетной системы, направленных на достижение цели программы, вышеуказанные средства указываются в текстовой части ССБР по каждой бюджетной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 когда ГРБС, вовлеченные в реализацию бюджетной программы, являются не единственными исполнителями, в текстовой части ССБР отражается подробная информация о соисполнителях, их роли в достижении ожидаемых результатов бюджетной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Формат и порядок подготовки проекта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формирования проекта ССБР состоит из следующих шагов: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стратегической цели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формулирование/обновление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финансовых средств по бюджетным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показателей результативности для каждой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шаг процесса формирования проекта ССБР сопровождается описанием. Требования к содержанию и описанию разделов ССБР изложены в </w:t>
      </w:r>
      <w:hyperlink w:history="1" r:id="rIdhpyodm-n-wktbmiedm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Описание сектора/отрасли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Процесс разработки проекта ССБР начинается с описания сектора/отрасли, к которой относится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требованиями к описанию сектора/отрасли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особенностей (масштаб и основные составляющие) и состояния (проблемы и достижения) сектора/отрасли на момент формирования проекта ССБР, с приведением краткой статистики за последний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роль ГРБС в определении и реализации политики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Описание сектора/отрасли представляется в ССБР по форме согласно </w:t>
      </w:r>
      <w:hyperlink w:history="1" r:id="rIdvmojupib-qef2ah0gho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Определение стратегической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ГРБС должны сформулировать стратегическую цель сектора/отрасли. В случаях когда ГРБС не относятся к конкретному сектору/отрасли, формулируется стратегическая цель организации. Если стратегическая цель сектора/отрасли уже была сформирована ранее и была согласована с уполномоченным государственным органом, то она остается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формулировке стратегической цели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четкость, определенность и краткость формулировки;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достижимость и измеримость (предпочтительно);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общественной значимости/выгоды от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направленность на достижение конкретного результата, а не на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Формулировка стратегической цели должна быть понятной и не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специальных терминов и аббревиатур, затрудняющих ее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терминов, понятий и выражений, которые допускают произвольное или неоднозначное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указаний на иные цели, задачи, эффекты или результаты, которые являются следствием достижения самой стратегической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описания средств и методов достижения стратегической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Стратегическая цель сектора/отрасли вносится в раздел "Стратегическая цель" ССБР по форме согласно </w:t>
      </w:r>
      <w:hyperlink w:history="1" r:id="rId6uqbta3ajs-e04hfc6r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Определение задач сектора/отрасли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Задачи сектора/отрасли должны быть направлены на достижение стратегической цели и отражать основные приоритетные направления деятельности. Задачи сектора/отрасли являются основой для определения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Задачи сектора/отрасли должны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задачи должны соответствовать приоритетам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задач должна быть краткой и четкой без специальных терминов и аббревиатур, затрудняющих их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задачи не должны дублировать формулировку стратегической цели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задач не должно быть большим (рекомендуется не более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совокупность задач сектора/отрасли по отношению к цели сектора/отрасли должна отвечать принципам необходимости (решение каждой задачи является необходимым условием достижения цели) и достаточности (решение всех задач является достаточным условием достижения цели);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недопустима постановка задач, направленных на обеспечение деятельности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задач не должен дублировать перечень функций из положения, регулирующего деятельность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задач не должно рассматриваться решение проблем финансирования сектора/отрасли.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задачи сектора/отрасли уже были сформированы ранее и приняты уполномоченным государственным органом, то они остаются в прежней редакции, кроме тех случаев, когда формулировку цели необходимо пересмотреть в связи с пересмотром отраслевой политики или проводимыми реформами.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Сформулированные задачи представляются в виде перечня задач в разделе "Задачи" по форме согласно </w:t>
      </w:r>
      <w:hyperlink w:history="1" r:id="rId2iv3iwfjikjpwgzwse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Формулирование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Взаимосвязанные основные направления деятельности ГРБС группируются в бюджетные программы в соответствии с объединяющими их задачами сектора/отрасли.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каждой бюджетной программы должна быть определена цель, которая формулируется четко и лаконично, является конкретной, достижимой, измеримой, ориентированной на внешнего потребителя услуг сектора/отрасли, направленной на достижение результата. Формулировка цели не должна содержать специальных терминов и аббревиатур, затрудняющих ее понимание.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формулировке бюджетных программ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приоритетами стратегий/программ развития национального уровня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без применения специальных терминов и аббревиатур, затрудняющих их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 (количество бюджетных программ не может быть меньше количества задач сектора и не должно быть чрезмерно большим);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программы/подпрограммы включаются по согласованию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проекты, финансируемые в рамках бюджета ГРБС, не могут определяться в качестве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бюджетная программа должна быть общественно значимой - показывать выгоды от деятельности ГРБС и не должна быть направлена на решение проблем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бюджетные программы сектора/отрасли уже сформулированы ранее 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преобразования в Кабинете Министров Кыргызской Республики и внутри ГРБС;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кардинальный пересмотр функций ГРБС как следствие процесса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программной структуры (объединение мелких программ или дезагрегация крупных);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программной структуры с задачами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оценки результативности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и реализация донорских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законодательной и нормативной базе, затрагивающие содержательную часть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перечне бюджетных программ отражается стандартная программа "Управление и администрирование",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бюджетной программе "Управление и администрирование" относятся: высшее руководство; финансовая служба; подразделения, ответственные за осуществление мониторинга и контроля; управление человеческими ресурсами; подразделения международного сотрудничества; юридическая служба; внутренний аудит; службы по связям с общественностью, пресс-секретари и т.п. Не допускается отнесение к данной программе всех расходов, осуществляемых центральным аппаратом ГРБС. Территориальные подразделения ГРБС, выполняющие несколько функций, относящихся к разным бюджетным программам/подпрограммам, указываются в виде одной бюджетной подпрограммы в бюджетной программе "Управление и администрирование".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Бюджетная программа "Управление и администрирование" указывается первой в списке.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Сформулированные бюджетные программы вносятся в раздел "Бюджетные программы" по форме, приведенной в </w:t>
      </w:r>
      <w:hyperlink w:history="1" r:id="rIdoa9wtximp1ojkdvpep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а также в таблице "Анализ финансирования бюджетных программ" по форме, приведенной в </w:t>
      </w:r>
      <w:hyperlink w:history="1" r:id="rIdkxkwygot5c1ik9d6ko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необходимо указывать коды бюджетных программ, соответствующие кодам программной бюджетной классификации. В случае отсутствия кода программной бюджетной классификации бюджетная программа указывается как "новая программа" для последующего присвоения ей кода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значительного изменения программной структуры формируемого проекта ССБР в сравнении с программной структурой, представленной в предыдущем цикле формирования бюджета, представляется обоснование вносимых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Распределение средств по бюджетным программам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Прогнозные показатели бюджета ГРБС должны быть распределены в ССБР по бюджетным программам. Расчет расходов по бюджетным программам должен быть основан на определении стоимости бюджетных подпрограмм. Для этого администраторы бюджетных программ используют показатели стоимости бюджетных подпрограмм, рассчитанных в ходе прошлогоднего цикла формирования бюджетных заявок в программном формате, с корректировками (при необходимости) в пределах 10 процентов их стоимости. Распределение средств по новым бюджетным подпрограммам определяется исходя из предварительных расчетов на основе методики, утвержденной для формирования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расчетов вносятся в таблицу "Анализ финансирования бюджетных программ" по форме, приведенной в </w:t>
      </w:r>
      <w:hyperlink w:history="1" r:id="rIdz9vfzdddcu2pjtwbe-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Внебюджетные источники финансирования программ указываются в ССБР по каждой программе в таблице "Анализ финансирования бюджетных программ" отдельно от средств, выделяемых из республиканского бюджета. Итоговая сумма по всем внебюджетным источникам указывается отдельной строкой "Итого за счет внебюджетных источников".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Определение показателей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каждой бюджетной программы определяются измеримые ожидаемые результаты. Для их описания применяются показатели результативности. Отбор показателей результативности осуществляется с учетом требований методики, утвержденной в Инструкции по формированию, рассмотрению и исполнению бюджетов на программной основе, утверждаемой Кабинетом Министров Кыргызской Республики. Наименования показателей результативности бюджетных программ/подпрограмм должны оставаться стабильными во времени, т.е. если показатели результативности уже были сформулированы ранее в программном бюджете ГРБС и приняты уполномоченным государственным органом, то они остаются в прежней редакции, изменяясь только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бюджетных программ/подпрограмм;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показателей результативности осуществляются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Ожидаемые результаты бюджетных программ отражаются в текстовой части ССБР и в таблице "Анализ финансирования бюджетных программ" по форме согласно </w:t>
      </w:r>
      <w:hyperlink w:history="1" r:id="rIdbdzxxk6dg1fstnqmlc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ССБР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Проекты ССБР и показатели результативности бюджетных программ подлежат общественному обсуждению в срок не позднее 25 апреля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итогам проведения общественных слушаний ГРБС формируют протокол общественного обсуждения, матрицу учета замечаний и предложений по итогам общественного обсуждения проекта ССБР. Протокол общественного обсуждения представляется в уполномоченный государственный орган вместе с проектом ССБР.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 ССБР рассматривается и одобряется руководителем ГРБС для представления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рассматривает проекты ССБР на предмет соответствия требованиям настоящей Инструкции и методики, утвержденной для формирования бюджетов на программной основе (в части распределения средств по бюджетным программам), и в случае несоответствия изложенным требованиям, возвращает представленный проект ССБР на доработку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ГРБС дорабатывают проект ССБР с учетом замечаний и предложений уполномоченного государственного органа. Доработанный проект ССБР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Свод представленных ССБР для включения в проект ОНФП обеспечивается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Исполнение среднесрочных стратегий ГРБС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ССБР исполняются ГРБС посредством исполнения программного бюджета, рассмотренного и исполненного в соответствии с Инструкцией о порядке формирования, рассмотрения и исполнения бюджетов на программной основе, утверждаемой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СТРАТЕГИЯ
 бюджетных расходов на 20___-20___ гг.
 по сектору/отрасли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(стандартное описание необходимости составления ССБР): "Настоящий документ является официальной среднесрочной (охватывающей трехлетний период с 20___ г. по 20___ г.) стратегией бюджетных расходов, которая включена в проект "Основные направления фискальной политики Кыргызской Республики на 20___-20___ гг".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бюджетные программы в рамках реализации политики сектора/отрасли и их финансирование в пределах запланированных для этого средств республиканского бюджета, а также подтвержденные внебюджетные источники финансирования.".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сектора/отрасли: краткое описание специфики сектора/отрасли (3-4 абзаца), краткая отраслевая статистика, проблематика и развитие).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роли ГРБС в управлении сектором/отраслью и его развитии (1 абзац). Перечисление других ГРБС (если таковые имеются), участвующих в управлении и развитии сектора/отрасли, с описанием распределения их обязанностей 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Стратегическая цель сектора/отрасли (долгосрочная, общественно-значимая, понятная, измеримая); (максимум 1 абзац - цель и очень краткое пояснение, если необходимо).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сектора/отрасли (среднесрочные, общественно значимые, согласующиеся с национальными и отраслевыми программами развития); (перечисление задач в нескольких пунктах; задач не должно быть много - максимум 4-5 (необходимо помнить о том, что количество задач не может превышать количество бюджетных программ), можно привести пояснения (1-2 абзаца). Не допускается постановка задач, направленных на обеспечение деятельности ГРБС, увеличение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программы (наименование; указание кода бюджетной программы в бюджетной классификации; указание номера задачи сектора/отрасли, которую решает программа; очень краткое описание (1-2 абзаца) - информация о текущей ситуации по данному направлению и актуальность программы), (количество программ не должно быть меньше количества задач сектора/отрасли. Несколько программ могут решать одну задачу, но одна программа не может относиться к нескольким задачам).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в списке бюджетных программ должна быть стандартная бюджетная программа "Управление и администрирование". В этой программе должны группироваться административные расходы структурных, территориальных и подведомственных подразделений, которые сложно распределить по основным бюджетным 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описания каждой бюджетной программы приводится предполагаемый перечень бюджетных подпрограмм (перечень без описания). За реализацию одной бюджетной подпрограммы отвечает одна организация или подразделение.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Сценарии: в случае если новая бюджетная подпрограмма планируется за счет изменения политики, появляется впервые в программной структуре бюджета ГРБС и требует дополнительного финансирования сверх установленных для ГРБС прогнозных показателей, информация по такой бюджетной подпрограмме представляется в описании соответствующей бюджетной программы в следующем формате: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код бюджетной программы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новой бюджетной подпрограммы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 новой инициативы (необходимость и общественная полезность, ссылка на стратегию национального уровня/инициативу Президента Кыргызской Республики, Кабинета Министров Кыргызской Республики, отраслевую стратегию развития)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финансирования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Х+1
 (план)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Х+2
 (прогноз)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Х+3
 (прогноз)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Государственные инвестиции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1 (единица измерения)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2 (единица измерения)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 (если необходимо)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перечисляются ожидаемые результаты реализации бюджетной программы в среднесрочном периоде. Ожидаемый результат должен быть измеримым и реалистичным и иметь социальную значимость. Показатели результативности бюджетных подпрограмм на данном этапе не определяются.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Финансовый план (стоимость бюджетных программ, включая бюджетные ассигнования, специальные средства, государственные инвестиции, внебюджетные источники). Описывается общий объем расходов по бюджетным программам сектора/отрасли и существенные изменения в его динамике за прошлые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когда ГРБС, вовлеченные в реализацию бюджетной программы, являются не единственными исполнителями, необходимо указать информацию о соисполнителях, их роли в достижении ожидаемых результатов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АНАЛИЗ
 финансирования бюджетных программ по сектору/отрасли ____________________ на 20___-20___ гг.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ГРБС (полное наименование)
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413"/>
        <w:gridCol w:w="415"/>
        <w:gridCol w:w="4658"/>
        <w:gridCol w:w="1044"/>
        <w:gridCol w:w="1044"/>
        <w:gridCol w:w="1044"/>
        <w:gridCol w:w="1087"/>
      </w:tblGrid>
      <w:tr>
        <w:tc>
          <w:tcPr>
            <w:tcW w:type="dxa" w:w="4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ЦУР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ПП</w:t>
            </w:r>
          </w:p>
        </w:tc>
        <w:tc>
          <w:tcPr>
            <w:tcW w:type="dxa" w:w="4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подпрограммы</w:t>
            </w:r>
          </w:p>
        </w:tc>
        <w:tc>
          <w:tcPr>
            <w:tcW w:type="dxa" w:w="31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программам/подпрограммам)
 (тыс. сомов)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
 План.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
 План.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
 План.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"Управление и администрирование",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 (внешнее финансирование)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источники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программе 2,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всем программам, из них: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из республиканского бюджета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счет внебюджетных источников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по формированию, рассмотрению и исполнению среднесрочных стратегий бюджетных расходов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среднесрочной стратегии бюджетных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 проекта среднесрочной стратегии бюджетных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1. Анализ финансирования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общественного обсуждения проекта среднесрочной стратегии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oqbjyor--3vrcwelh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dalil.kg/document/230043223</w:t>
      </w:r>
    </w:hyperlink>
  </w:p>
  <w:p>
    <w:pPr>
      <w:spacing w:after="0" w:before="40"/>
      <w:jc w:val="center"/>
    </w:pPr>
    <w:hyperlink w:history="1" r:id="rIde_tm72pdtwvxj2qtzmm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bld6xlbeih_lnjo2ap_" Type="http://schemas.openxmlformats.org/officeDocument/2006/relationships/hyperlink" Target="https://dalil.kg/document/230039017" TargetMode="External"/><Relationship Id="rIdigxqkcqfbjhy70kkvbz_b" Type="http://schemas.openxmlformats.org/officeDocument/2006/relationships/hyperlink" Target="https://dalil.kg/document/111338#st_84" TargetMode="External"/><Relationship Id="rIdljvynkhb8xulifkm7hmq0" Type="http://schemas.openxmlformats.org/officeDocument/2006/relationships/hyperlink" Target="https://dalil.kg/document/230043223#pr_1" TargetMode="External"/><Relationship Id="rIdj3clexvmnrcyq7tgfjkex" Type="http://schemas.openxmlformats.org/officeDocument/2006/relationships/hyperlink" Target="https://dalil.kg/document/230043223#pr_1" TargetMode="External"/><Relationship Id="rIdqzsbxsyymyaoisesokxmo" Type="http://schemas.openxmlformats.org/officeDocument/2006/relationships/hyperlink" Target="https://dalil.kg/document/230043223#pr_1" TargetMode="External"/><Relationship Id="rId2vzaskilhblbqygaqqceg" Type="http://schemas.openxmlformats.org/officeDocument/2006/relationships/hyperlink" Target="https://dalil.kg/document/230043223#pr_2" TargetMode="External"/><Relationship Id="rIdeiles7x7zg_0-yubucual" Type="http://schemas.openxmlformats.org/officeDocument/2006/relationships/hyperlink" Target="https://dalil.kg/document/230043223#pr_3" TargetMode="External"/><Relationship Id="rIdhpyodm-n-wktbmiedmdlh" Type="http://schemas.openxmlformats.org/officeDocument/2006/relationships/hyperlink" Target="https://dalil.kg/document/230043223#pr_1" TargetMode="External"/><Relationship Id="rIdvmojupib-qef2ah0gho__" Type="http://schemas.openxmlformats.org/officeDocument/2006/relationships/hyperlink" Target="https://dalil.kg/document/230043223#pr_1" TargetMode="External"/><Relationship Id="rId6uqbta3ajs-e04hfc6r8b" Type="http://schemas.openxmlformats.org/officeDocument/2006/relationships/hyperlink" Target="https://dalil.kg/document/230043223#pr_1" TargetMode="External"/><Relationship Id="rId2iv3iwfjikjpwgzwse5ic" Type="http://schemas.openxmlformats.org/officeDocument/2006/relationships/hyperlink" Target="https://dalil.kg/document/230043223#pr_1" TargetMode="External"/><Relationship Id="rIdoa9wtximp1ojkdvpepfkp" Type="http://schemas.openxmlformats.org/officeDocument/2006/relationships/hyperlink" Target="https://dalil.kg/document/230043223#pr_1" TargetMode="External"/><Relationship Id="rIdkxkwygot5c1ik9d6kozfp" Type="http://schemas.openxmlformats.org/officeDocument/2006/relationships/hyperlink" Target="https://dalil.kg/document/230043223#pr_2" TargetMode="External"/><Relationship Id="rIdz9vfzdddcu2pjtwbe-xow" Type="http://schemas.openxmlformats.org/officeDocument/2006/relationships/hyperlink" Target="https://dalil.kg/document/230043223#pr_2" TargetMode="External"/><Relationship Id="rIdbdzxxk6dg1fstnqmlc1xv" Type="http://schemas.openxmlformats.org/officeDocument/2006/relationships/hyperlink" Target="https://dalil.kg/document/230043223#pr_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oqbjyor--3vrcwelhsa" Type="http://schemas.openxmlformats.org/officeDocument/2006/relationships/hyperlink" Target="https://dalil.kg/document/230043223" TargetMode="External"/><Relationship Id="rIde_tm72pdtwvxj2qtzmm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2026-09-25T17:55:33.298Z</dcterms:created>
  <dcterms:modified xsi:type="dcterms:W3CDTF">2026-09-25T17:55:33.298Z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