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4</w:t>
      </w:r>
    </w:p>
    <w:p>
      <w:pPr>
        <w:spacing w:after="12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УГЛЕВОДОРОДОВ
 ПРИ ХРАНЕНИИ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Выбросы из емкостей с однокомпонентными жидкостями.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Количество выбросов в атмосферу загрязняющих веществ (кг/ч) из резервуаров за счет испарения рассчитывается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объем жидкости, наливаемой в резервуар в течение года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Mn</w:t>
      </w:r>
      <w:r>
        <w:rPr>
          <w:rFonts w:ascii="Arial" w:cs="Arial" w:eastAsia="Arial" w:hAnsi="Arial"/>
          <w:sz w:val="24"/>
          <w:szCs w:val="24"/>
        </w:rPr>
        <w:t xml:space="preserve"> – молекулярная масса паров жидкости; </w:t>
      </w:r>
      <w:r>
        <w:rPr>
          <w:rFonts w:ascii="Arial" w:cs="Arial" w:eastAsia="Arial" w:hAnsi="Arial"/>
          <w:sz w:val="24"/>
          <w:szCs w:val="24"/>
        </w:rPr>
        <w:t xml:space="preserve"> – коэффициент эффективности газоулавливающего устройства резервуара (доли единицы);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5Т</w:t>
      </w:r>
      <w:r>
        <w:rPr>
          <w:rFonts w:ascii="Arial" w:cs="Arial" w:eastAsia="Arial" w:hAnsi="Arial"/>
          <w:sz w:val="24"/>
          <w:szCs w:val="24"/>
        </w:rPr>
        <w:t xml:space="preserve"> – поправочные коэффициенты, зависящие от давления насыщенных паров 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и температуры газового пространства </w:t>
      </w:r>
      <w:r>
        <w:rPr>
          <w:rFonts w:ascii="Arial" w:cs="Arial" w:eastAsia="Arial" w:hAnsi="Arial"/>
          <w:sz w:val="24"/>
          <w:szCs w:val="24"/>
        </w:rPr>
        <w:t xml:space="preserve">соответственно в холодное и теплое время года (см. раздел Определение коэффициента к5);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поправочный коэффициент, зависящий от давления насыщенных паров и годовой оборачиваемости резервуаров (см. раздел Определение коэффициента к6);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– поправочный коэффициент, зависящий от технической оснащенности и режима эксплуатации (см. раздел Определение коэффициента к7);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– давление насыщенных паров жидких при температуре 38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(гПа) (см. раздел Определение рs(38)).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 наливе нефтепродуктов в железнодорожные цистерны и нефтеналивные суда среднее количество валовых выбросов в атмосферу (кг/ч) рассчитывается по уравнению: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- годовой объем наливаемой жидкости (м3/год); К8 – коэффициент, зависящий от давления насыщенных паров и климатической зоны; значение К8 при наливе в нижнюю часть цистерны принимается по табл. 1; при наливе полуоткрытой струей и сверху значение коэффициента К8 увеличивается соответственно в 1,8 и 3,5 раза. Коэффициенты К5Х и К5Т принимаются по таблицам раздела Определение коэффициента к5.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8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наливе нефтепродуктов в нижнюю часть емкости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5"/>
        <w:gridCol w:w="2148"/>
        <w:gridCol w:w="2148"/>
        <w:gridCol w:w="2148"/>
      </w:tblGrid>
      <w:tr>
        <w:tc>
          <w:tcPr>
            <w:tcW w:type="dxa" w:w="37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насыщенных паров, гПа</w:t>
            </w:r>
          </w:p>
        </w:tc>
        <w:tc>
          <w:tcPr>
            <w:tcW w:type="dxa" w:w="64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Климатическая зона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&lt;67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– 133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– 266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– 399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– 532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&gt;532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сливе нефтепродуктов из железнодорожных цистерн и нефтеналивных судов расчет среднего количества валовых выбросов (кг/ч) в атмосферу ведется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годовой объем сливаемой из цистерн (судов) жидкости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принимается, что температура газового пространства равна температуре атмосферного воздуха.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Среднее количество валовых выбросов в атмосферу из емкостей технологических установок и реагентного хозяйства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объем жидкости, поступающей в емкость в течение года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5Т</w:t>
      </w:r>
      <w:r>
        <w:rPr>
          <w:rFonts w:ascii="Arial" w:cs="Arial" w:eastAsia="Arial" w:hAnsi="Arial"/>
          <w:sz w:val="24"/>
          <w:szCs w:val="24"/>
        </w:rPr>
        <w:t xml:space="preserve">берутся из раздела Определение коэффициента к5.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определяются так же, как для резервуаров (см. Методику расчета выбросов загрязняющих веществ при производстве нефтепродуктов); коэффициент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принимается: при эксплуатации в режиме «буферный» по табл.2. в зависимости от отношения высоты h к диаметру d выбросной трубы; при эксплуатации в режиме «мерник»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= 1.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отношения высоты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(h м) к диаметру (d м) выбросной трубы емкости.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&lt;1 1 – 2 2 – 3 3 – 4 4 – 5 5 – 7 7 – 9 9 – 11 11 – 14 14 – 17 17 – 21 &gt;21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… </w:t>
      </w:r>
      <w:r>
        <w:rPr>
          <w:rFonts w:ascii="Arial" w:cs="Arial" w:eastAsia="Arial" w:hAnsi="Arial"/>
          <w:sz w:val="24"/>
          <w:szCs w:val="24"/>
        </w:rPr>
        <w:t xml:space="preserve"> 1,00 0,97 0,86 0,72 0,58 0,44 0,32 0,24 0,17 0,12 0,11 0,07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Выбросы из емкостей с многокомпонентными жидкостями. </w:t>
      </w:r>
      <w:r>
        <w:rPr>
          <w:rFonts w:ascii="Arial" w:cs="Arial" w:eastAsia="Arial" w:hAnsi="Arial"/>
          <w:sz w:val="24"/>
          <w:szCs w:val="24"/>
        </w:rPr>
        <w:t xml:space="preserve">Выбросы веществ в атмосферу из резервуаров, емкостей железнодорожных цистерн и нефтеналивных судов (кг/ч) с многокомпонентными жидкостями (нефтью, нефтепродуктами) определяются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вал</w:t>
      </w:r>
      <w:r>
        <w:rPr>
          <w:rFonts w:ascii="Arial" w:cs="Arial" w:eastAsia="Arial" w:hAnsi="Arial"/>
          <w:sz w:val="24"/>
          <w:szCs w:val="24"/>
        </w:rPr>
        <w:t xml:space="preserve"> – валовые выбросы на соответствующих емкостей (кг/ч);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 - давление насыщенных паров при 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го вещества соответственно над чистой и многокомпонентной жидкостью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молекулярные массы паров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и многокомпонентной жидкости (см. табл. 5);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молекулярная доля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в многокомпонентной жидкости (кг моль/кг моль смеси).</w:t>
      </w:r>
    </w:p>
    <w:p>
      <w:pPr>
        <w:spacing w:after="120"/>
        <w:ind w:firstLine="192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давления насыщенных паров при температуре 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С:</w:t>
      </w:r>
    </w:p>
    <w:p>
      <w:pPr>
        <w:spacing w:after="12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бензола – 223,8 гПа,</w:t>
      </w:r>
    </w:p>
    <w:p>
      <w:pPr>
        <w:spacing w:after="12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толуола – 71,7 гПа,</w:t>
      </w:r>
    </w:p>
    <w:p>
      <w:pPr>
        <w:spacing w:after="12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ксилолов – 21,7 гПа,</w:t>
      </w:r>
    </w:p>
    <w:p>
      <w:pPr>
        <w:spacing w:after="24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сероводорода – 27920 гПа.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Молекулярную долю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в многокомпонентной жидкости приближенно можно рассчитать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массовая доля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в многокомпонентной жидкости (кг/кг смеси);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– молекулярная масса многокомпонентной жидкости, значения которой принимаются по табл. 3 в зависимости от средней температуры кипения жидкости.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массовых долей сероводорода и ароматических углеводородов – бензола, толуола, ксилолов в нефтях и нефтепродуктах – принимаются по данным справочника «Нефти СССР» т. 1 – 4 (М. Химия, 1972), в котором приведены суммарные массовые концентрации ароматики для ряда нефтяных фракций, причем в нефтяных за концентрацию бензола принимается суммарная концентрация ароматики во фракции 60 – 95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толуола – во фракции 95 – 122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ксилолов – во фракции 122 – 150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значения массового содержания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в парах нефтепродуктов их выбросы на нефтеперерабатывающих предприятиях можно рассчитать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массовая концентрация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в парах нефтепродукта (% по массе) принимается по табл.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молекулярной массы нефтепродуктов в зависимости от средней температуры кипения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3"/>
        <w:gridCol w:w="924"/>
        <w:gridCol w:w="693"/>
        <w:gridCol w:w="825"/>
        <w:gridCol w:w="388"/>
        <w:gridCol w:w="388"/>
        <w:gridCol w:w="924"/>
        <w:gridCol w:w="775"/>
        <w:gridCol w:w="924"/>
        <w:gridCol w:w="388"/>
        <w:gridCol w:w="388"/>
        <w:gridCol w:w="924"/>
        <w:gridCol w:w="775"/>
        <w:gridCol w:w="924"/>
        <w:gridCol w:w="247"/>
      </w:tblGrid>
      <w:tr>
        <w:tc>
          <w:tcPr>
            <w:tcW w:type="dxa" w:w="6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4</w:t>
            </w:r>
          </w:p>
        </w:tc>
      </w:tr>
      <w:tr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Концентрация загрязняющих веществ (% по массе)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парах различных нефтепродуктов.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0"/>
        <w:gridCol w:w="1004"/>
        <w:gridCol w:w="1004"/>
        <w:gridCol w:w="1004"/>
        <w:gridCol w:w="1004"/>
        <w:gridCol w:w="1004"/>
        <w:gridCol w:w="1004"/>
        <w:gridCol w:w="1635"/>
      </w:tblGrid>
      <w:tr>
        <w:tc>
          <w:tcPr>
            <w:tcW w:type="dxa" w:w="25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нефтепродукта</w:t>
            </w:r>
          </w:p>
        </w:tc>
        <w:tc>
          <w:tcPr>
            <w:tcW w:type="dxa" w:w="60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1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Сероводо-род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предель-ные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аромати-ческие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непре-дельные</w:t>
            </w:r>
          </w:p>
        </w:tc>
        <w:tc>
          <w:tcPr>
            <w:tcW w:type="dxa" w:w="301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Прямогонные бензиновые фракции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62-105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85-120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85-180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105-140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120-140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140-180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НК-180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Стабильный катализат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Бензин-рафинад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Крекинг-бензин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74,03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Ловушечный продукт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молекулярной массы паров нефтепродуктов 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г/моль) в зависимости от температуры начала кипения (t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пределение коэффициента 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температуры газового пространства емкостей необходимо иметь замеренные значения средних температур нефти и нефтепродуктов, находящихся в соответствующих емкостях, за шесть наиболее холодных и шесть наиболее теплых месяцев года.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наземных металлургических необогреваемых и подземных железобетонных резервуаров температура за шесть наиболее холодных месяцев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за шесть наиболее теплых месяцев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t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и t</w:t>
      </w:r>
      <w:r>
        <w:rPr>
          <w:rFonts w:ascii="Arial" w:cs="Arial" w:eastAsia="Arial" w:hAnsi="Arial"/>
          <w:sz w:val="24"/>
          <w:szCs w:val="24"/>
        </w:rPr>
        <w:t xml:space="preserve">ат</w:t>
      </w:r>
      <w:r>
        <w:rPr>
          <w:rFonts w:ascii="Arial" w:cs="Arial" w:eastAsia="Arial" w:hAnsi="Arial"/>
          <w:sz w:val="24"/>
          <w:szCs w:val="24"/>
        </w:rPr>
        <w:t xml:space="preserve"> – средние арифметические значения температуры атмосферного воздуха соответственно за шесть наиболее холодных и шесть наиболее теплых месяцев года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С); К</w:t>
      </w:r>
      <w:r>
        <w:rPr>
          <w:rFonts w:ascii="Arial" w:cs="Arial" w:eastAsia="Arial" w:hAnsi="Arial"/>
          <w:sz w:val="24"/>
          <w:szCs w:val="24"/>
        </w:rPr>
        <w:t xml:space="preserve">1т</w:t>
      </w:r>
      <w:r>
        <w:rPr>
          <w:rFonts w:ascii="Arial" w:cs="Arial" w:eastAsia="Arial" w:hAnsi="Arial"/>
          <w:sz w:val="24"/>
          <w:szCs w:val="24"/>
        </w:rPr>
        <w:t xml:space="preserve">, холодных месяцев, принимаемые по табл. 6; 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для подземных резервуаров равен единице, а для наземных металлических необогреваемых резервуаров принимается по таблице 7 в зависимости от окраски поверхности резервуара и климатической зоны (условное разделение территории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на климатические зоны представлено в табл. 6); </w:t>
      </w:r>
      <w:r>
        <w:rPr>
          <w:rFonts w:ascii="Arial" w:cs="Arial" w:eastAsia="Arial" w:hAnsi="Arial"/>
          <w:sz w:val="24"/>
          <w:szCs w:val="24"/>
        </w:rPr>
        <w:t xml:space="preserve">- средние температуры нефтепродуктов в шесть теплых и шесть холодных месяцев.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температура газового пространства обогреваемых резервуаров принимается равной температуре жидкости в резервуаре.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наливе жидкостей в железнодорожные цистерны и нефтеналивные суда температура газового пространства составит: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(10)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(11)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таблице 7; для нефтеналивных судов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= 1;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жт</w:t>
      </w:r>
      <w:r>
        <w:rPr>
          <w:rFonts w:ascii="Arial" w:cs="Arial" w:eastAsia="Arial" w:hAnsi="Arial"/>
          <w:sz w:val="24"/>
          <w:szCs w:val="24"/>
        </w:rPr>
        <w:t xml:space="preserve"> – средние арифметические значения температуры жидкости в резервуаре соответственно за шесть холодных и шесть теплых месяцев года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сливе жидкости из железнодорожных цистерн и наливных судов средняя температура газового пространства этих емкостей принимается равной средней температуре атмосферного воздуха за соответствующий период: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… (12)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… (13)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Определение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таблице 13 в зависимости от размещения предприятий в той или иной климатической зоне, от давления насыщенных паров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и от годовой оборачиваемости резервуара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V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– объем жидкости, поступающей в резервуар в течение года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V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объем резервуара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коэффициента 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 К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таблице 14 в зависимости от оснащенности резервуара техническими средствами сокращения потерь и режима эксплуатации.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6. Определение 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s(38)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давления насыщенных паров 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для многокомпонентных жидкостей (нефти и нефтепродуктов) принимается по таблице 15 в зависимости от значений эквивалентной температуры начала кипения жидкости (t</w:t>
      </w:r>
      <w:r>
        <w:rPr>
          <w:rFonts w:ascii="Arial" w:cs="Arial" w:eastAsia="Arial" w:hAnsi="Arial"/>
          <w:sz w:val="24"/>
          <w:szCs w:val="24"/>
        </w:rPr>
        <w:t xml:space="preserve">экв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С), определяется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t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 и t</w:t>
      </w:r>
      <w:r>
        <w:rPr>
          <w:rFonts w:ascii="Arial" w:cs="Arial" w:eastAsia="Arial" w:hAnsi="Arial"/>
          <w:sz w:val="24"/>
          <w:szCs w:val="24"/>
        </w:rPr>
        <w:t xml:space="preserve">кк</w:t>
      </w:r>
      <w:r>
        <w:rPr>
          <w:rFonts w:ascii="Arial" w:cs="Arial" w:eastAsia="Arial" w:hAnsi="Arial"/>
          <w:sz w:val="24"/>
          <w:szCs w:val="24"/>
        </w:rPr>
        <w:t xml:space="preserve"> – температура соответственно начала и конца кипения многокомпонентной жидкости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однокомпонентных жидкостей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(гПа) рассчитываются по формулам: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А, В, С – константы зависящие от природы вещества (см. «Справочник химика» т. 1, Л., Химия, 1967).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многокомпонентных жидкостей (нефтепродуктов) средняя молекулярная масса паров принимается по таблице 5 в зависимости от температуры начала кипения смеси веществ.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паров нефти в зависимости от количества растворенных в ней углеводородных газов С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С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молекулярная масса имеет следующие значения: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Массовое содержание в нефти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углеводородов С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%……. &gt;2,5 1,5 – 2,5 &lt;1,5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Молекулярная масса 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нефти………………………….. 50 55 60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коэффициента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5Х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5Т</w:t>
      </w:r>
      <w:r>
        <w:rPr>
          <w:rFonts w:ascii="Arial" w:cs="Arial" w:eastAsia="Arial" w:hAnsi="Arial"/>
          <w:sz w:val="24"/>
          <w:szCs w:val="24"/>
        </w:rPr>
        <w:t xml:space="preserve"> принимаются по таблицам приложения 1 в зависимости от давления насыщенных паров 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и соответственно средних температур газового пространства резервуара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гх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коэффициентов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температуры жидкости в резервуаре.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3"/>
        <w:gridCol w:w="2383"/>
        <w:gridCol w:w="1702"/>
        <w:gridCol w:w="625"/>
        <w:gridCol w:w="625"/>
        <w:gridCol w:w="1323"/>
        <w:gridCol w:w="1138"/>
      </w:tblGrid>
      <w:tr>
        <w:tc>
          <w:tcPr>
            <w:tcW w:type="dxa" w:w="47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Температу-ра в резер-вуаре,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резервуары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холодных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35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–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-5,77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-10,80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теплых месяцев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– 50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-2,04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-8,41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железобетонные резервуары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холодных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– 40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–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теплых месяцев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– 50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</w:tr>
      <w:tr>
        <w:tc>
          <w:tcPr>
            <w:tcW w:type="dxa" w:w="2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7</w:t>
            </w:r>
          </w:p>
        </w:tc>
      </w:tr>
      <w:tr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9"/>
        <w:gridCol w:w="1893"/>
        <w:gridCol w:w="1893"/>
        <w:gridCol w:w="1893"/>
      </w:tblGrid>
      <w:tr>
        <w:tc>
          <w:tcPr>
            <w:tcW w:type="dxa" w:w="44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покрытия</w:t>
            </w:r>
          </w:p>
        </w:tc>
        <w:tc>
          <w:tcPr>
            <w:tcW w:type="dxa" w:w="567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Климатическая зона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наземные:</w:t>
            </w:r>
          </w:p>
        </w:tc>
      </w:tr>
      <w:tr>
        <w:tc>
          <w:tcPr>
            <w:tcW w:type="dxa" w:w="4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черная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</w:tr>
      <w:tr>
        <w:tc>
          <w:tcPr>
            <w:tcW w:type="dxa" w:w="4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алюминиевая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4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теплоотражающая эмаль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цистерны:</w:t>
            </w:r>
          </w:p>
        </w:tc>
      </w:tr>
      <w:tr>
        <w:tc>
          <w:tcPr>
            <w:tcW w:type="dxa" w:w="4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черная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</w:tr>
      <w:tr>
        <w:tc>
          <w:tcPr>
            <w:tcW w:type="dxa" w:w="4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алюминиевая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Условное разделение территории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 климатические зоны для применения норм естественной убыли нефти и нефтепродуктов при расчетах выбросов вредных веществ в атмосферу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1"/>
        <w:gridCol w:w="6167"/>
      </w:tblGrid>
      <w:tr>
        <w:tc>
          <w:tcPr>
            <w:tcW w:type="dxa" w:w="4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</w:t>
            </w:r>
          </w:p>
        </w:tc>
        <w:tc>
          <w:tcPr>
            <w:tcW w:type="dxa" w:w="6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</w:tr>
      <w:tr>
        <w:tc>
          <w:tcPr>
            <w:tcW w:type="dxa" w:w="4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(Чуйская, Чон-Кеминская и Кичи-Кеминская долины)</w:t>
            </w:r>
          </w:p>
        </w:tc>
      </w:tr>
      <w:tr>
        <w:tc>
          <w:tcPr>
            <w:tcW w:type="dxa" w:w="4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Северо-Западный Кыргызстан (СЗК)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Юго-Западный Кыргызстан (ЮКЗ);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Баткенская, Ошская и Джалал-Абадская области</w:t>
            </w:r>
          </w:p>
        </w:tc>
      </w:tr>
      <w:tr>
        <w:tc>
          <w:tcPr>
            <w:tcW w:type="dxa" w:w="4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Северо-Восточный Кыргызстан (СВК)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 (Иссык-Кульская котловина, Внутренний Тянь-Шань)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966 . . . 500 гПа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6"/>
        <w:gridCol w:w="1129"/>
        <w:gridCol w:w="1129"/>
        <w:gridCol w:w="1129"/>
        <w:gridCol w:w="1129"/>
        <w:gridCol w:w="1129"/>
        <w:gridCol w:w="1129"/>
        <w:gridCol w:w="1129"/>
        <w:gridCol w:w="1129"/>
      </w:tblGrid>
      <w:tr>
        <w:tc>
          <w:tcPr>
            <w:tcW w:type="dxa" w:w="11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03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966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965-901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900-834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833-765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764-701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700-634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633-567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566-500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 и менее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1,075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1,110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1,146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1,184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1,223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1,257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1,264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500 . . . 51 гПа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9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500-435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434-368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367-301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300-234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233-168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167-117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116-91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90-51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 и менее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0,0,58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0,213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0,561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0,588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0,916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0,955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0,996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1,039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1,222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1,324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1,377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 более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50,5 . . . 0,011 гПа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9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>
        <w:tc>
          <w:tcPr>
            <w:tcW w:type="dxa" w:w="9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2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50,50-24,10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24,00-8,01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8,00-2,94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2,937-0,974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0,973-0,334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0,333-0,094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0,093-0,036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0,035-0,011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0,0,96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9,415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и более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Р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11 x 10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. . . 1,3 х 10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3"/>
        <w:gridCol w:w="1161"/>
        <w:gridCol w:w="1161"/>
        <w:gridCol w:w="1161"/>
        <w:gridCol w:w="1161"/>
        <w:gridCol w:w="1161"/>
        <w:gridCol w:w="1161"/>
        <w:gridCol w:w="1161"/>
        <w:gridCol w:w="1161"/>
      </w:tblGrid>
      <w:tr>
        <w:tc>
          <w:tcPr>
            <w:tcW w:type="dxa" w:w="8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2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…1,3х10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1,3х10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 менее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4,397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9,963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8,125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262,8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362,2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411,9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511,3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3542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4678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6382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7518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8089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11443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71446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6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климатической зоны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4"/>
        <w:gridCol w:w="1267"/>
        <w:gridCol w:w="1267"/>
        <w:gridCol w:w="1267"/>
        <w:gridCol w:w="1267"/>
        <w:gridCol w:w="1267"/>
        <w:gridCol w:w="1267"/>
      </w:tblGrid>
      <w:tr>
        <w:tc>
          <w:tcPr>
            <w:tcW w:type="dxa" w:w="25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годовой оборачиваемости резервуара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</w:p>
        </w:tc>
        <w:tc>
          <w:tcPr>
            <w:tcW w:type="dxa" w:w="760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67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– 133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– 266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– 399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– 532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532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13-23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3,97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32-35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36-39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40-43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44-47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52-55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56-59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68-71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72-75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76-79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106-131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132-200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2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200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0"/>
        <w:gridCol w:w="2258"/>
      </w:tblGrid>
      <w:tr>
        <w:tc>
          <w:tcPr>
            <w:tcW w:type="dxa" w:w="7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резервуара техническими средствами сокращения потерь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эксплуатации «мерник»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не оборудован понтоном или плавающей крышей, имеет открытый люк или снятый дыхательный клапан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открытых люков не имеет, оборудован непримерзающими дыхательными клапанами, обеспечивающими избыточное давление в резервуаре: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 гПа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 – 98 гПа: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– 147 гПа: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– 196 гПа: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– 245 гПа: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понтоном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плавающей крышей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включен в газоуравнительную систему группы резервуаров, у которых совпадение откачки и закачки продукта составляет: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– 90%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– 80%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– 70%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– 50%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30%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30%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эксплуатации «буферный»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имеет открытый люк или снятый дыхательный клапан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дыхательными клапанами а непримерзающими тарелками, открытых люков не имеет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понтоном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плавающей крышей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1. Под режимом эксплуатации резервуара «мерник» понимается такой режим, при котором происходит изменение высоты уровни жидкости в резервуаре. 2. Под режимом эксплуатации резервуар «буферный» понимается режим, характеризующийся постоянством уровня жидкости в резервуаре, т.е. совпадением объема закачки и откачки продукта.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15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давления насыщенных паров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(гПа) в зависимости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эквивалентной температуры начала кипения нефтепродукта 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экв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(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1167"/>
        <w:gridCol w:w="1150"/>
        <w:gridCol w:w="1167"/>
        <w:gridCol w:w="1150"/>
        <w:gridCol w:w="1167"/>
        <w:gridCol w:w="1150"/>
        <w:gridCol w:w="2164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1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1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1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7,46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9,79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fbzarusx7ufzitckd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dalil.kg/document/230043260</w:t>
      </w:r>
    </w:hyperlink>
  </w:p>
  <w:p>
    <w:pPr>
      <w:spacing w:after="0" w:before="40"/>
      <w:jc w:val="center"/>
    </w:pPr>
    <w:hyperlink w:history="1" r:id="rIdmg4vsgebqx-829cg8kh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fbzarusx7ufzitckd0d" Type="http://schemas.openxmlformats.org/officeDocument/2006/relationships/hyperlink" Target="https://dalil.kg/document/230043260" TargetMode="External"/><Relationship Id="rIdmg4vsgebqx-829cg8kh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2026-09-26T13:08:51.393Z</dcterms:created>
  <dcterms:modified xsi:type="dcterms:W3CDTF">2026-09-26T13:08:51.393Z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