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РАСЧЕТА ВЫБРОСОВ ЗАГРЯЗНЯЮЩИХ ВЕЩЕСТВ ПРИ ПРОИЗВОДСТВЕ НЕФТЕПРОДУКТОВ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Организованные источники.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Количество выбросов веществ (кг/ч) при сжигании топлива в трубчатых печах рассчитывается следующим образом.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Сернистый газ: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, (1)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– расход топлива (кг/ч),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S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 – содержание серы в жидком топливе (%),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 – массовая доля жидкого топлива;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[H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S]</w:t>
      </w:r>
      <w:r>
        <w:rPr>
          <w:rFonts w:ascii="Arial" w:cs="Arial" w:eastAsia="Arial" w:hAnsi="Arial"/>
          <w:sz w:val="24"/>
          <w:szCs w:val="24"/>
        </w:rPr>
        <w:t xml:space="preserve"> – содержание сероводорода в газовом топливе (% по массе).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Оксид углерода и метан: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(2)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Оксиды азота: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, (3)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sz w:val="24"/>
          <w:szCs w:val="24"/>
        </w:rPr>
        <w:t xml:space="preserve">- концентрация оксидов азота в пересчете на NO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(кг/м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); V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– объем продуктов сгорания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/ч), который можно ориентировочно определить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г </w:t>
      </w:r>
      <w:r>
        <w:rPr>
          <w:rFonts w:ascii="Arial" w:cs="Arial" w:eastAsia="Arial" w:hAnsi="Arial"/>
          <w:sz w:val="24"/>
          <w:szCs w:val="24"/>
        </w:rPr>
        <w:t xml:space="preserve">= 7,84бВЭ, (4)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 – коэффициент избытка воздуха в уходящих дымовых газах;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Э</w:t>
      </w:r>
      <w:r>
        <w:rPr>
          <w:rFonts w:ascii="Arial" w:cs="Arial" w:eastAsia="Arial" w:hAnsi="Arial"/>
          <w:sz w:val="24"/>
          <w:szCs w:val="24"/>
        </w:rPr>
        <w:t xml:space="preserve"> – энергетический эквивалент топлива (табл. 1.).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смеси топлива: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, (5)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Э</w:t>
      </w:r>
      <w:r>
        <w:rPr>
          <w:rFonts w:ascii="Arial" w:cs="Arial" w:eastAsia="Arial" w:hAnsi="Arial"/>
          <w:sz w:val="24"/>
          <w:szCs w:val="24"/>
        </w:rPr>
        <w:t xml:space="preserve">ж</w:t>
      </w:r>
      <w:r>
        <w:rPr>
          <w:rFonts w:ascii="Arial" w:cs="Arial" w:eastAsia="Arial" w:hAnsi="Arial"/>
          <w:sz w:val="24"/>
          <w:szCs w:val="24"/>
        </w:rPr>
        <w:t xml:space="preserve"> и Э</w:t>
      </w:r>
      <w:r>
        <w:rPr>
          <w:rFonts w:ascii="Arial" w:cs="Arial" w:eastAsia="Arial" w:hAnsi="Arial"/>
          <w:sz w:val="24"/>
          <w:szCs w:val="24"/>
        </w:rPr>
        <w:t xml:space="preserve">г </w:t>
      </w:r>
      <w:r>
        <w:rPr>
          <w:rFonts w:ascii="Arial" w:cs="Arial" w:eastAsia="Arial" w:hAnsi="Arial"/>
          <w:sz w:val="24"/>
          <w:szCs w:val="24"/>
        </w:rPr>
        <w:t xml:space="preserve">– энергетический эквивалент соответственно жидкого и газообразного топлива.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Концентрация оксидов азота (кг/м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при сжигании топлива в печах, оснащенных форсунками типа ФГМ, определяется по формуле:</w:t>
      </w:r>
    </w:p>
    <w:p>
      <w:pPr>
        <w:spacing w:after="12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(6)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sz w:val="24"/>
          <w:szCs w:val="24"/>
        </w:rPr>
        <w:t xml:space="preserve"> - фактическая средняя теплопроизводительность одной форсунки (МДж/ч),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 – расчетная теплопроизводительность одной форсунки (Мдж/ч; принимается по паспорту),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сг</w:t>
      </w:r>
      <w:r>
        <w:rPr>
          <w:rFonts w:ascii="Arial" w:cs="Arial" w:eastAsia="Arial" w:hAnsi="Arial"/>
          <w:sz w:val="24"/>
          <w:szCs w:val="24"/>
        </w:rPr>
        <w:t xml:space="preserve"> – объем сухих продуктов сгорания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/ч),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– число форсунок; отношение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сг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/V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принимается по табл.1.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печей, оснащеных горелками беспламенного горения в формулу (6) вводят коэффициент, равный 0,8. Принимается, что выбросы диоксида азота (NO2) составляет 0,05 от выбросов NOx.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г)Пыль:</w:t>
      </w:r>
    </w:p>
    <w:p>
      <w:pPr>
        <w:spacing w:after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(7)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А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 – содержание золя в топливе (% по массе).</w:t>
      </w:r>
    </w:p>
    <w:p>
      <w:pPr>
        <w:spacing w:after="240"/>
        <w:ind w:firstLine="9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40"/>
        <w:ind w:firstLine="9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Значения энергетического эквивалента топлива Э и отношений объемом сухих и влажных продуктов сгорания в уходящих дымовых газах 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V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сг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/V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г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, в зависимости от коэффициента избытка воздуха 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б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78"/>
        <w:gridCol w:w="1050"/>
        <w:gridCol w:w="1142"/>
        <w:gridCol w:w="1142"/>
        <w:gridCol w:w="1142"/>
        <w:gridCol w:w="1142"/>
        <w:gridCol w:w="1142"/>
        <w:gridCol w:w="1142"/>
      </w:tblGrid>
      <w:tr>
        <w:tc>
          <w:tcPr>
            <w:tcW w:type="dxa" w:w="227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</w:t>
            </w:r>
          </w:p>
        </w:tc>
        <w:tc>
          <w:tcPr>
            <w:tcW w:type="dxa" w:w="10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Э</w:t>
            </w:r>
          </w:p>
        </w:tc>
        <w:tc>
          <w:tcPr>
            <w:tcW w:type="dxa" w:w="685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сг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/V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коэффициентах избытка воздуха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б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2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природный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</w:tc>
      </w:tr>
      <w:tr>
        <w:tc>
          <w:tcPr>
            <w:tcW w:type="dxa" w:w="2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Газнефтепромы-словый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прямой пере-гонки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водородсо-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держащий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Газы пиролиза, коксования термического и катали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тического крекинга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Мазуты, полугу-дроны, гудрон, экстрат, кре-кинг-остаток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</w:tc>
      </w:tr>
    </w:tbl>
    <w:p>
      <w:pPr>
        <w:spacing w:after="240" w:before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 Объем влажных продуктов сгорания для жидких топлив был получен из расчета 0,5 кг пара на 1 кг топлива.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Количество выбросов загрязняющих веществ (кг/ч) газомоторными компрессорами определяется по формулам: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(8)</w:t>
      </w:r>
    </w:p>
    <w:p>
      <w:pPr>
        <w:spacing w:after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; (9)</w:t>
      </w:r>
    </w:p>
    <w:p>
      <w:pPr>
        <w:spacing w:after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; (10)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– расход топлива (кг/ч).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Количество выбросов загрязняющих веществ в несконденсированных газах, сбрасываемых последней ступени пароэжекторного агрегата вакуумсоздавающих систем установок АВТ, определяется исходя из общего количества газойлевых фракций, отводимых с верха вакуумной колонны, следующим образом.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Углеводороды. Расчет количества суммы углеводородов (кг/ч) производится по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(11)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здесь В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– расход сырья в вакуумной колонне (т/ч); з – коэффициент эффективности работы газоочистного устройства (см. приложение 1); q</w:t>
      </w:r>
      <w:r>
        <w:rPr>
          <w:rFonts w:ascii="Arial" w:cs="Arial" w:eastAsia="Arial" w:hAnsi="Arial"/>
          <w:sz w:val="24"/>
          <w:szCs w:val="24"/>
        </w:rPr>
        <w:t xml:space="preserve">гф </w:t>
      </w:r>
      <w:r>
        <w:rPr>
          <w:rFonts w:ascii="Arial" w:cs="Arial" w:eastAsia="Arial" w:hAnsi="Arial"/>
          <w:sz w:val="24"/>
          <w:szCs w:val="24"/>
        </w:rPr>
        <w:t xml:space="preserve">– выход газойлевых фракций (% по массе), который определяется по формуле: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(12)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t – температура верха колонны (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С); Р – давление верха колонны (гПа); Z – расход водяного пара (% по массе); m – содержание в сырье фракций с температурой кипения до 350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 (% по объему).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несконденсированные газы с последней ступени пароэжекторного насоса сбрасываются через конденсатор, расчет производится по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(13)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Сероводород. Количество сероводорода (кг/ч) в несконденсированных газах при сбросе как через конденсатор, так и помимо его определяется по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(14)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S – содержание серы в сырье вакуумной колонны (% по массе).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Количество выбросов (кг/ч) при отдуве из емкостей инертного газа или воздуха, насыщенных парами загрязняющих веществ, рассчитывается исходя из общего расхода этих газов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/ч) и концентрации загрязняющих веществ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кг/м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(15)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нефтяных фракций однокомпонентных систем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C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(кг/м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определяется по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(16)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 – давление насыщенных паров продукта при данной температуре (гПа);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 – абсолютное давление в линии отдува (гПа);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– молекулярная масса паров продукта.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веществ, входящих в состав многокомпонентных систем,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(17)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– давление насыщенного пара компонента при температуре, равной температуре газа в линии отдува (гПа);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х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– молярная доля компонента в жидкой фазе.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1.5.</w:t>
      </w:r>
      <w:r>
        <w:rPr>
          <w:rFonts w:ascii="Arial" w:cs="Arial" w:eastAsia="Arial" w:hAnsi="Arial"/>
          <w:sz w:val="24"/>
          <w:szCs w:val="24"/>
        </w:rPr>
        <w:t xml:space="preserve">Количество выбросов загрязняющих веществ (кг/ч) при регенерации катализатора установок каталитического крекинга рассчитывается по формулам: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(18)</w:t>
      </w:r>
    </w:p>
    <w:p>
      <w:pPr>
        <w:spacing w:after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(19)</w:t>
      </w:r>
    </w:p>
    <w:p>
      <w:pPr>
        <w:spacing w:after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(20)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(21)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здесь В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 – количество кокса, выгоревшего с поверхности катализатора (кг/ч), которое определяется по формуле: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(22)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– кратность циркуляции катализатора (т/т сырья);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– расход сырья в установке (т/ч);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– содержание кокса на катализаторе до и после регенерации (% по массе).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выбросов газов, образующихся при регенерации катализатора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/ч), равно количеству подаваемого на регенерацию воздуха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/ч), т.е.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(23)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выбросов сернистого газа (кг/ч) рассчитывается по содержанию серы в коксе (</w:t>
      </w:r>
      <w:r>
        <w:rPr>
          <w:rFonts w:ascii="Arial" w:cs="Arial" w:eastAsia="Arial" w:hAnsi="Arial"/>
          <w:sz w:val="24"/>
          <w:szCs w:val="24"/>
        </w:rPr>
        <w:t xml:space="preserve"> % по массе):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(24)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по содержанию серы в сырье установки (</w:t>
      </w:r>
      <w:r>
        <w:rPr>
          <w:rFonts w:ascii="Arial" w:cs="Arial" w:eastAsia="Arial" w:hAnsi="Arial"/>
          <w:sz w:val="24"/>
          <w:szCs w:val="24"/>
        </w:rPr>
        <w:t xml:space="preserve">% по массе):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(25)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Количество выбросов через общеообменную вентиляцию загрязняющих веществ (кг/ч), содержащихся в воздухе производственных помещений, определяется по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(26)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рз</w:t>
      </w:r>
      <w:r>
        <w:rPr>
          <w:rFonts w:ascii="Arial" w:cs="Arial" w:eastAsia="Arial" w:hAnsi="Arial"/>
          <w:sz w:val="24"/>
          <w:szCs w:val="24"/>
        </w:rPr>
        <w:t xml:space="preserve"> – средняя концентрация загрязняющего вещества в рабочей зоне за отопительный период (мг/м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– поправочный коэффициент. Для насосных, оборудованных центробежными насосами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= 1,5; поршневыми насосами 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= 3; для компрессорных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= 2; </w:t>
      </w:r>
      <w:r>
        <w:rPr>
          <w:rFonts w:ascii="Arial" w:cs="Arial" w:eastAsia="Arial" w:hAnsi="Arial"/>
          <w:sz w:val="24"/>
          <w:szCs w:val="24"/>
        </w:rPr>
        <w:t xml:space="preserve"> - суммарная производительность вентиляционных установок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/ч).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Количество выбросов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-го загрязняющего вещества (кг/ч) при бессажевом сжигании газов в факельных устройствах определяется по формуле:</w:t>
      </w:r>
    </w:p>
    <w:p>
      <w:pPr>
        <w:spacing w:after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(27)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В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– расход газа на факел (кг/ч); k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– экспериментально установленный коэффициент (для СО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k </w:t>
      </w:r>
      <w:r>
        <w:rPr>
          <w:rFonts w:ascii="Arial" w:cs="Arial" w:eastAsia="Arial" w:hAnsi="Arial"/>
          <w:sz w:val="24"/>
          <w:szCs w:val="24"/>
        </w:rPr>
        <w:t xml:space="preserve">≈ 2 x 10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, для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≈ 5 x 10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 для NO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≈ 3 x 10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устройства для бездымного сжигания газов при расчетах загрязняющих веществ по формуле (27) необходимо принять следующие значения k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: для СО – 0,25; для </w:t>
      </w:r>
      <w:r>
        <w:rPr>
          <w:rFonts w:ascii="Arial" w:cs="Arial" w:eastAsia="Arial" w:hAnsi="Arial"/>
          <w:sz w:val="24"/>
          <w:szCs w:val="24"/>
        </w:rPr>
        <w:t xml:space="preserve">, для сажи –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количества выбросов сернистого газа производится по формуле: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(28)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[H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S] – содержание сероводорода в сжигаемом газе (% по массе).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Неорганизованные источники. 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Количество выбросов газов и паров (кг/ч), выделяющихся из аппаратов, колонн, реакторов и других емкостей, в которых вещества находятся в основном в парогазовой фазе, рассчитывается по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(29)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 – давление в аппарате (гПа);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– объем аппарата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– средняя молярная масса (г/моль) паров нефтепродуктов; принимается в зависимости от температуры кипения продукта, загружаемого в аппарат (табл. 2.);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 </w:t>
      </w:r>
      <w:r>
        <w:rPr>
          <w:rFonts w:ascii="Arial" w:cs="Arial" w:eastAsia="Arial" w:hAnsi="Arial"/>
          <w:sz w:val="24"/>
          <w:szCs w:val="24"/>
        </w:rPr>
        <w:t xml:space="preserve">– средняя температура в аппарате (К).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аппарате большая часть вещества находится в жидкой фазе, то расчет количества выбросов в атмосферу ведется по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(30)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 – коэффициент, зависящий от средней температуры кипения жидкости (нефтепродукта) и средней температуры в аппарате (табл. 3.)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выбросов в атмосферу из теплообменных аппаратов и средств перекачки определяется в зависимости от типа оборудования и вида продукта (табл. 4.)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загрязняющих веществ (углеводородов, сероводорода, и др.) в неорганизованных выбросах технологических установок (кг/ч) рассчитывается по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(31)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- массовое содержание загрязняющих веществ соответственно в сырье, реагентах и в отдельных продуктах технологической установки (доли единицы);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– расход сырья (кг/ч); </w:t>
      </w:r>
      <w:r>
        <w:rPr>
          <w:rFonts w:ascii="Arial" w:cs="Arial" w:eastAsia="Arial" w:hAnsi="Arial"/>
          <w:sz w:val="24"/>
          <w:szCs w:val="24"/>
        </w:rPr>
        <w:t xml:space="preserve">- количество получаемого отдельного вида готовой продукции (кг/ч);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k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– массовое отношение веществ, циркулирующих в аппаратах технологических установок (например, селективные растворители, водородсодержащих газ), к сырью (доли единицы).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Количество выбросов с поверхности нефтеотделителей 1-, 2-, 3- и 4-й систем оборотного водоснабжения (кг/ч) рассчитывается по формуле: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(32)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F</w:t>
      </w:r>
      <w:r>
        <w:rPr>
          <w:rFonts w:ascii="Arial" w:cs="Arial" w:eastAsia="Arial" w:hAnsi="Arial"/>
          <w:sz w:val="24"/>
          <w:szCs w:val="24"/>
        </w:rPr>
        <w:t xml:space="preserve">ноi</w:t>
      </w:r>
      <w:r>
        <w:rPr>
          <w:rFonts w:ascii="Arial" w:cs="Arial" w:eastAsia="Arial" w:hAnsi="Arial"/>
          <w:sz w:val="24"/>
          <w:szCs w:val="24"/>
        </w:rPr>
        <w:t xml:space="preserve"> – площадь поверхности жидкости нефтеотделителей i-й системы (м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); коэффициент К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, зависящий от степени укрытия поверхности (табл. 5); q</w:t>
      </w:r>
      <w:r>
        <w:rPr>
          <w:rFonts w:ascii="Arial" w:cs="Arial" w:eastAsia="Arial" w:hAnsi="Arial"/>
          <w:sz w:val="24"/>
          <w:szCs w:val="24"/>
        </w:rPr>
        <w:t xml:space="preserve">ноi</w:t>
      </w:r>
      <w:r>
        <w:rPr>
          <w:rFonts w:ascii="Arial" w:cs="Arial" w:eastAsia="Arial" w:hAnsi="Arial"/>
          <w:sz w:val="24"/>
          <w:szCs w:val="24"/>
        </w:rPr>
        <w:t xml:space="preserve"> – удельный выброс (кг/(м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ч)) загрязняющих веществ (суммарно) с поверхности нефтеотделителей i-й системы (табл. 6.).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Значение молекулярной массы паров нефтепродуктов (М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г/моль) в зависимости от температуры начала кипения (t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,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8"/>
        <w:gridCol w:w="848"/>
        <w:gridCol w:w="848"/>
        <w:gridCol w:w="848"/>
        <w:gridCol w:w="848"/>
        <w:gridCol w:w="848"/>
        <w:gridCol w:w="848"/>
        <w:gridCol w:w="848"/>
        <w:gridCol w:w="848"/>
        <w:gridCol w:w="848"/>
        <w:gridCol w:w="848"/>
        <w:gridCol w:w="848"/>
      </w:tblGrid>
      <w:tr>
        <w:tc>
          <w:tcPr>
            <w:tcW w:type="dxa" w:w="8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нк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нк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нк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нк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нк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нк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312,5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324,5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337,5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356,5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392,2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438,5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Значение коэффициента 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К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д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в зависимости от средней температуры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кипения нефтепродукта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и средней температуры в аппарате 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t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4"/>
        <w:gridCol w:w="1187"/>
        <w:gridCol w:w="1187"/>
        <w:gridCol w:w="1187"/>
        <w:gridCol w:w="1187"/>
        <w:gridCol w:w="1187"/>
        <w:gridCol w:w="1187"/>
        <w:gridCol w:w="1187"/>
        <w:gridCol w:w="1187"/>
      </w:tblGrid>
      <w:tr>
        <w:tc>
          <w:tcPr>
            <w:tcW w:type="dxa" w:w="68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</w:p>
        </w:tc>
        <w:tc>
          <w:tcPr>
            <w:tcW w:type="dxa" w:w="9496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&lt;20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– 52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 – 84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– 112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 – 128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 – 162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 – 185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 – 206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1,86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3,59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2,94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1,32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1,24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0,98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Продолжение табл.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7"/>
        <w:gridCol w:w="1017"/>
      </w:tblGrid>
      <w:tr>
        <w:tc>
          <w:tcPr>
            <w:tcW w:type="dxa" w:w="101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9160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 – 226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 – 244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 – 262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 – 278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 – 294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 – 310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 – 324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 – 350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&gt;350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4,65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3,87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3,59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2,21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1,68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0,98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Количество выбросов (кг/ч) на единицу теплообменной аппаратуры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средств перекачки в зависимости от вида нефтепродукта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или средней температуры кипения жидкости t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(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22"/>
        <w:gridCol w:w="2237"/>
        <w:gridCol w:w="2120"/>
        <w:gridCol w:w="1699"/>
      </w:tblGrid>
      <w:tr>
        <w:tc>
          <w:tcPr>
            <w:tcW w:type="dxa" w:w="41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и средства перекачки</w:t>
            </w:r>
          </w:p>
        </w:tc>
        <w:tc>
          <w:tcPr>
            <w:tcW w:type="dxa" w:w="22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Газ, бензин и жидкости с 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&lt; 120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2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Керосин, диз. топ-ливо и жидкости с 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120 . . . 300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1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Нефть, мазут и жидкости с 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&gt; 300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</w:tr>
      <w:tr>
        <w:tc>
          <w:tcPr>
            <w:tcW w:type="dxa" w:w="4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Кожухотрубный теплообменник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трубное пространство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4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межтрубное пространство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4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Кожухотрубный холодильник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Кожухотрубный кипятильник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4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Погружной холодильник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4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воздушного охлаждения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4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Насосы центробежные с одним уплотнением вала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торцевым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4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сальниковым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4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Насосы центробежные с двумя уплотнениями вала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торцевыми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4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сальниковыми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4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Насосы центробежные с двой-ными торцевыми уплотнениями или бессальниковые типа ЦНГ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Компрессоры центробежные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1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Компрессоры поршневые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Значение коэффициента 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К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11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в зависимости от степени укрытия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поверхностей объектов сооружений механической очистки шифером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 или другим материалом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8"/>
      </w:tblGrid>
      <w:tr>
        <w:tc>
          <w:tcPr>
            <w:tcW w:type="dxa" w:w="1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укрытия, %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укрытия, %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укрытия, %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укрытия, %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укрытия, %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выбросов (кг/ч) загрязняющих веществ в атмосферу от градирен 1-, 2-, 3- и 4-й систем оборотного водоснабжения определяется по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, (33)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B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гi</w:t>
      </w:r>
      <w:r>
        <w:rPr>
          <w:rFonts w:ascii="Arial" w:cs="Arial" w:eastAsia="Arial" w:hAnsi="Arial"/>
          <w:sz w:val="24"/>
          <w:szCs w:val="24"/>
        </w:rPr>
        <w:t xml:space="preserve"> – расход воды в градиенте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-й системы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/ч);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гi</w:t>
      </w:r>
      <w:r>
        <w:rPr>
          <w:rFonts w:ascii="Arial" w:cs="Arial" w:eastAsia="Arial" w:hAnsi="Arial"/>
          <w:sz w:val="24"/>
          <w:szCs w:val="24"/>
        </w:rPr>
        <w:t xml:space="preserve"> – удельный выброс (кг/м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загрязняющих веществ (суммарно) от градирен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-й системы (табл. 6.)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i w:val="false"/>
          <w:iCs w:val="false"/>
          <w:sz w:val="32"/>
          <w:szCs w:val="32"/>
        </w:rPr>
        <w:t xml:space="preserve">Удельный выброс загрязняющих веществ (суммарно) от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систем оборотного водоснабжения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75"/>
        <w:gridCol w:w="3605"/>
        <w:gridCol w:w="3398"/>
      </w:tblGrid>
      <w:tr>
        <w:tc>
          <w:tcPr>
            <w:tcW w:type="dxa" w:w="31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</w:t>
            </w:r>
          </w:p>
        </w:tc>
        <w:tc>
          <w:tcPr>
            <w:tcW w:type="dxa" w:w="3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Градирин, q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воды</w:t>
            </w:r>
          </w:p>
        </w:tc>
        <w:tc>
          <w:tcPr>
            <w:tcW w:type="dxa" w:w="3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Нефтеотделители, q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кг/(м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ч)</w:t>
            </w:r>
          </w:p>
        </w:tc>
      </w:tr>
      <w:tr>
        <w:tc>
          <w:tcPr>
            <w:tcW w:type="dxa" w:w="31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0,093</w:t>
            </w:r>
          </w:p>
        </w:tc>
      </w:tr>
      <w:tr>
        <w:tc>
          <w:tcPr>
            <w:tcW w:type="dxa" w:w="31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</w:tr>
      <w:tr>
        <w:tc>
          <w:tcPr>
            <w:tcW w:type="dxa" w:w="31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</w:tr>
      <w:tr>
        <w:tc>
          <w:tcPr>
            <w:tcW w:type="dxa" w:w="31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</w:t>
            </w:r>
          </w:p>
        </w:tc>
      </w:tr>
    </w:tbl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выбросов загрязняющих веществ в атмосферу по компонентам (</w:t>
      </w:r>
      <w:r>
        <w:rPr>
          <w:rFonts w:ascii="Arial" w:cs="Arial" w:eastAsia="Arial" w:hAnsi="Arial"/>
          <w:sz w:val="24"/>
          <w:szCs w:val="24"/>
        </w:rPr>
        <w:t xml:space="preserve"> кг/ч) от нефтеотделителей и градирен систем оборотного водоснабжения производится по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, (34)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sz w:val="24"/>
          <w:szCs w:val="24"/>
        </w:rPr>
        <w:t xml:space="preserve"> - производительность нефтеотделителей и градирен (кг/ч); С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– концентрация I-го компонента в парах испарившегося нефтепродукта (% по массе) с поверхности нефтеотделителей (градирен) принимается по табл. 7.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Концентрация загрязняющих веществ (% по массе) в парах испарившихся нефтепродуктов с систем оборотного водоснабжения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57"/>
        <w:gridCol w:w="1111"/>
        <w:gridCol w:w="1111"/>
        <w:gridCol w:w="1111"/>
        <w:gridCol w:w="1111"/>
        <w:gridCol w:w="1111"/>
        <w:gridCol w:w="1111"/>
        <w:gridCol w:w="894"/>
        <w:gridCol w:w="1059"/>
      </w:tblGrid>
      <w:tr>
        <w:tc>
          <w:tcPr>
            <w:tcW w:type="dxa" w:w="155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систем обо-ротного во-доснабжения</w:t>
            </w:r>
          </w:p>
        </w:tc>
        <w:tc>
          <w:tcPr>
            <w:tcW w:type="dxa" w:w="6666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Углеводороды</w:t>
            </w:r>
          </w:p>
        </w:tc>
        <w:tc>
          <w:tcPr>
            <w:tcW w:type="dxa" w:w="8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</w:t>
            </w:r>
          </w:p>
        </w:tc>
        <w:tc>
          <w:tcPr>
            <w:tcW w:type="dxa" w:w="10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Серо-водород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</w:t>
            </w:r>
          </w:p>
        </w:tc>
        <w:tc>
          <w:tcPr>
            <w:tcW w:type="dxa" w:w="11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непредельные</w:t>
            </w:r>
          </w:p>
        </w:tc>
        <w:tc>
          <w:tcPr>
            <w:tcW w:type="dxa" w:w="11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аромати-ческие</w:t>
            </w:r>
          </w:p>
        </w:tc>
        <w:tc>
          <w:tcPr>
            <w:tcW w:type="dxa" w:w="333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ксилолы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Нефтеот-делители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82,35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6,50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Градирни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80,67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5,05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Нефтеот-делители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80,76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Градирни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76,57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</w:t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Нефтеот-делители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81,19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Градирни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83,11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1,79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Нефтеот-делители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54,36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Градирни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50,46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</w:tbl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2.3.</w:t>
      </w:r>
      <w:r>
        <w:rPr>
          <w:rFonts w:ascii="Arial" w:cs="Arial" w:eastAsia="Arial" w:hAnsi="Arial"/>
          <w:sz w:val="24"/>
          <w:szCs w:val="24"/>
        </w:rPr>
        <w:t xml:space="preserve"> Количество выбросов (кг/ч) от нефтеловушек открытого или полу открытого типа (поверхность частично или полностью покрыта шифером или другим материалом) рассчитывается по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– среднегодовая скорость ветра (м/с);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P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S(38)</w:t>
      </w:r>
      <w:r>
        <w:rPr>
          <w:rFonts w:ascii="Arial" w:cs="Arial" w:eastAsia="Arial" w:hAnsi="Arial"/>
          <w:sz w:val="24"/>
          <w:szCs w:val="24"/>
        </w:rPr>
        <w:t xml:space="preserve">– давление насыщенных паров нефтепродуктов при температуре 38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С, сбрасываемых со сточными водами на нефтеловушки (гПа);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– концентрация нефтепродуктов в сточных водах (мг/л), принимается по данным заводской лаборатории;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F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нл</w:t>
      </w:r>
      <w:r>
        <w:rPr>
          <w:rFonts w:ascii="Arial" w:cs="Arial" w:eastAsia="Arial" w:hAnsi="Arial"/>
          <w:sz w:val="24"/>
          <w:szCs w:val="24"/>
        </w:rPr>
        <w:t xml:space="preserve"> – площадь поверхности жидкости (м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– коэффициенты.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P</w:t>
      </w:r>
      <w:r>
        <w:rPr>
          <w:rFonts w:ascii="Arial" w:cs="Arial" w:eastAsia="Arial" w:hAnsi="Arial"/>
          <w:sz w:val="24"/>
          <w:szCs w:val="24"/>
        </w:rPr>
        <w:t xml:space="preserve">S(38)</w:t>
      </w:r>
      <w:r>
        <w:rPr>
          <w:rFonts w:ascii="Arial" w:cs="Arial" w:eastAsia="Arial" w:hAnsi="Arial"/>
          <w:sz w:val="24"/>
          <w:szCs w:val="24"/>
        </w:rPr>
        <w:t xml:space="preserve">, берет из Методики расчета выбросов углеводородов при хранении нефтепродуктов.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К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принимается в зависимости от значения давления насыщенных паров (Р</w:t>
      </w:r>
      <w:r>
        <w:rPr>
          <w:rFonts w:ascii="Arial" w:cs="Arial" w:eastAsia="Arial" w:hAnsi="Arial"/>
          <w:sz w:val="24"/>
          <w:szCs w:val="24"/>
        </w:rPr>
        <w:t xml:space="preserve">S(38)</w:t>
      </w:r>
      <w:r>
        <w:rPr>
          <w:rFonts w:ascii="Arial" w:cs="Arial" w:eastAsia="Arial" w:hAnsi="Arial"/>
          <w:sz w:val="24"/>
          <w:szCs w:val="24"/>
        </w:rPr>
        <w:t xml:space="preserve"> гПа) ловушечного продукта и температуры сточных вод (t</w:t>
      </w:r>
      <w:r>
        <w:rPr>
          <w:rFonts w:ascii="Arial" w:cs="Arial" w:eastAsia="Arial" w:hAnsi="Arial"/>
          <w:sz w:val="24"/>
          <w:szCs w:val="24"/>
        </w:rPr>
        <w:t xml:space="preserve">св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С) по Методике расчета выбросов углеводородов при хранении нефтепродуктов причем вместо температуры газового пространства (t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С) берется численно равное ей значение температуры сточных вод, принимаемое по данным периодических замеров.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К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имеет следующие значения: при поступлении в нефтеловушку индивидуальных веществ и нефтепродуктов с давлением насыщенных паров P</w:t>
      </w:r>
      <w:r>
        <w:rPr>
          <w:rFonts w:ascii="Arial" w:cs="Arial" w:eastAsia="Arial" w:hAnsi="Arial"/>
          <w:sz w:val="24"/>
          <w:szCs w:val="24"/>
        </w:rPr>
        <w:t xml:space="preserve">S(38)</w:t>
      </w:r>
      <w:r>
        <w:rPr>
          <w:rFonts w:ascii="Arial" w:cs="Arial" w:eastAsia="Arial" w:hAnsi="Arial"/>
          <w:sz w:val="24"/>
          <w:szCs w:val="24"/>
        </w:rPr>
        <w:t xml:space="preserve"> меньше 2,5 гПа К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= 1, а для нефтей и нефтепродуктов с давлением насыщенных паров больше 1,5 гПа К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= 0,25.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К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принимается по табл. 5.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Количество выбросов от объектов сооружений механической очистки (песколовка, пруды, шламонакопители и др.) рассчитывается по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(36)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sz w:val="24"/>
          <w:szCs w:val="24"/>
        </w:rPr>
        <w:t xml:space="preserve">валовые выбросы загрязняющих веществ от нефтеловушек открытого типа (кг/ч), рассчитанные по уравнению (35); К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– коэффициент, принимается по табл. 8.; F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– площадь одного из объектов сооружений механической очистки (м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); F</w:t>
      </w:r>
      <w:r>
        <w:rPr>
          <w:rFonts w:ascii="Arial" w:cs="Arial" w:eastAsia="Arial" w:hAnsi="Arial"/>
          <w:sz w:val="24"/>
          <w:szCs w:val="24"/>
        </w:rPr>
        <w:t xml:space="preserve">нл</w:t>
      </w:r>
      <w:r>
        <w:rPr>
          <w:rFonts w:ascii="Arial" w:cs="Arial" w:eastAsia="Arial" w:hAnsi="Arial"/>
          <w:sz w:val="24"/>
          <w:szCs w:val="24"/>
        </w:rPr>
        <w:t xml:space="preserve"> – площадь испарения нефтеловушки (м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- коэффициенты соответственно для нефтеловушек и прочих объектов механической очистки; принимаются по табл. 5.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Значение коэффициента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12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для объектов сооружений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механической очистки (нефтеловушек открытого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или полуоткрытого типа)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30"/>
        <w:gridCol w:w="3748"/>
      </w:tblGrid>
      <w:tr>
        <w:tc>
          <w:tcPr>
            <w:tcW w:type="dxa" w:w="6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</w:t>
            </w:r>
          </w:p>
        </w:tc>
        <w:tc>
          <w:tcPr>
            <w:tcW w:type="dxa" w:w="3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6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Песколоовка, ливнесброс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6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Пруды дополнительного отстоя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6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Песчаные фильтры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</w:tr>
      <w:tr>
        <w:tc>
          <w:tcPr>
            <w:tcW w:type="dxa" w:w="6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АКСС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</w:t>
            </w:r>
          </w:p>
        </w:tc>
      </w:tr>
      <w:tr>
        <w:tc>
          <w:tcPr>
            <w:tcW w:type="dxa" w:w="6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Аварийные амбары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</w:t>
            </w:r>
          </w:p>
        </w:tc>
      </w:tr>
      <w:tr>
        <w:tc>
          <w:tcPr>
            <w:tcW w:type="dxa" w:w="6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Шламонакопители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</w:tr>
    </w:tbl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Валовые выбросы загрязняющих веществ от объектов сооружений механической очистки (кг/ч), когда в качестве нефтеловушек используются различные закрытые емкости, рассчитываются по уравнению: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(37)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q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– удельный выброс загрязняющих веществ (кг/(ч х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)) с поверхности одного из объектов сооружений механической очистки (табл.9.).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Удельный выброс (кг/(м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2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х ч)) загрязняющих веществ (суммарно)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объектов сооружений механической очистки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(нефтеловушек закрытого типа)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78"/>
        <w:gridCol w:w="3097"/>
        <w:gridCol w:w="2903"/>
      </w:tblGrid>
      <w:tr>
        <w:tc>
          <w:tcPr>
            <w:tcW w:type="dxa" w:w="4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</w:t>
            </w:r>
          </w:p>
        </w:tc>
        <w:tc>
          <w:tcPr>
            <w:tcW w:type="dxa" w:w="3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1</w:t>
            </w:r>
          </w:p>
        </w:tc>
        <w:tc>
          <w:tcPr>
            <w:tcW w:type="dxa" w:w="2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2</w:t>
            </w:r>
          </w:p>
        </w:tc>
      </w:tr>
      <w:tr>
        <w:tc>
          <w:tcPr>
            <w:tcW w:type="dxa" w:w="4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Песколовка, ливнесброс</w:t>
            </w:r>
          </w:p>
        </w:tc>
        <w:tc>
          <w:tcPr>
            <w:tcW w:type="dxa" w:w="3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4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Пруды дополнительного отстоя</w:t>
            </w:r>
          </w:p>
        </w:tc>
        <w:tc>
          <w:tcPr>
            <w:tcW w:type="dxa" w:w="3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4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Песчаные фильтры</w:t>
            </w:r>
          </w:p>
        </w:tc>
        <w:tc>
          <w:tcPr>
            <w:tcW w:type="dxa" w:w="3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4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</w:t>
            </w:r>
          </w:p>
        </w:tc>
        <w:tc>
          <w:tcPr>
            <w:tcW w:type="dxa" w:w="3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4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Аварийные амбары</w:t>
            </w:r>
          </w:p>
        </w:tc>
        <w:tc>
          <w:tcPr>
            <w:tcW w:type="dxa" w:w="3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tcW w:type="dxa" w:w="4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Шламонакопители</w:t>
            </w:r>
          </w:p>
        </w:tc>
        <w:tc>
          <w:tcPr>
            <w:tcW w:type="dxa" w:w="3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Валовые выбросы со всех объектов сооружений биологической очистки сточных вод принимаются равными 5 % от валовых выбросов со всех объектов сооружений механической очистки.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выбросов загрязняющих веществ в атмосферу по компонентам (кг/ч) с объектов очистных сооружений производится по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, (38)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вал</w:t>
      </w:r>
      <w:r>
        <w:rPr>
          <w:rFonts w:ascii="Arial" w:cs="Arial" w:eastAsia="Arial" w:hAnsi="Arial"/>
          <w:sz w:val="24"/>
          <w:szCs w:val="24"/>
        </w:rPr>
        <w:t xml:space="preserve"> – валовые выбросы загрязняющих веществ в атмосферу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-го объекта (кг/ч);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массовая концентрация (% по массе)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-го компонента в парах нефтепродукта, испарающегося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-го объекта очистных сооружений (табл. 10).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Концентрация загрязняющих веществ (% по массе) в парах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нефтепродуктов, испарившихся с поверхности объектов очистных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сооружений.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0"/>
      </w:tblGrid>
      <w:tr>
        <w:tc>
          <w:tcPr>
            <w:tcW w:type="dxa" w:w="113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sz w:val="24"/>
                <w:szCs w:val="24"/>
              </w:rPr>
              <w:t xml:space="preserve">Объект</w:t>
            </w:r>
          </w:p>
        </w:tc>
        <w:tc>
          <w:tcPr>
            <w:tcW w:type="dxa" w:w="6786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Углеводороды</w:t>
            </w:r>
          </w:p>
        </w:tc>
        <w:tc>
          <w:tcPr>
            <w:tcW w:type="dxa" w:w="11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</w:t>
            </w:r>
          </w:p>
        </w:tc>
        <w:tc>
          <w:tcPr>
            <w:tcW w:type="dxa" w:w="11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Серо-водо-род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предель-ные</w:t>
            </w:r>
          </w:p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непредель-ные</w:t>
            </w:r>
          </w:p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аромати-ческие</w:t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ксило-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лы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Песколовка, ливнесброс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81,99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Нефтеловушки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86,26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Пруды дополнительного отстоя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88,52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Песчаные фильтры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74,30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9,21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66,47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19,90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2,07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9,36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Аварийный ам-бар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Песколовка, ливнесброс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92,88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Нефтеловушки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85,52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Пруды дополнительного отстоя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Песчаные фильтры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82,86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60,68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1,16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3,73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Аварийный ам-бар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89,94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Шламонакопители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биоло-гической очистки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88,44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 эффективности газоочистки для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аппаратов и систем, эксплуатируемых 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предприятиях впо «союзнефтеоргсинтез»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94"/>
        <w:gridCol w:w="2848"/>
        <w:gridCol w:w="2730"/>
        <w:gridCol w:w="2106"/>
      </w:tblGrid>
      <w:tr>
        <w:tc>
          <w:tcPr>
            <w:tcW w:type="dxa" w:w="24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Производство, установка</w:t>
            </w:r>
          </w:p>
        </w:tc>
        <w:tc>
          <w:tcPr>
            <w:tcW w:type="dxa" w:w="2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или вид аппаратов газоочистки</w:t>
            </w:r>
          </w:p>
        </w:tc>
        <w:tc>
          <w:tcPr>
            <w:tcW w:type="dxa" w:w="2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Загрязняющее вещество</w:t>
            </w:r>
          </w:p>
        </w:tc>
        <w:tc>
          <w:tcPr>
            <w:tcW w:type="dxa" w:w="21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эффективности з</w:t>
            </w:r>
          </w:p>
        </w:tc>
      </w:tr>
      <w:tr>
        <w:tc>
          <w:tcPr>
            <w:tcW w:type="dxa" w:w="24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Катализаторная фабрика, установка 43-6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Батарейные циклоны типа БЦ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Катализаторная пыль с размером частиц более 10 мкм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 – 0,90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Циклоны ЦН-15 (диаметр 300 мм), объединенные в две группы по четыре циклона, соединение групп последователь-ное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 – 0,99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Катализаторная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фаб-рика, установка 43-6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Циклоны ЦН-24 (диа-метр 300 мм), объеди-ненные в группу из шести циклонов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Катализаторная пыль с размером частиц более 10 мкм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 – 0,90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Насадочные абсорбен-ты с насадкой из колец Рашига, орошаемых водой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Пары серной кислоты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 – 0,98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каталити-ческого крекинга 43-102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 циклонов узла сепарации с направля-ющим аппаратом типа «винт»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Катализаторная пыль с размером частиц более 10 мкм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 – 0,92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Адсорбционная очистка масел, глиноразмольное отделение установки 42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Полый промыватель (скруббер), орошаемый водой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белой глины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 – 0,87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замедленного коксования типа 21-10/3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Е-9 орошения водой при пропарке коксовых камер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Углеводороды (суммарно)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 – 0,60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Сероводород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 – 0,70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«Мокрый катализ»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Электрофильтры ЦМВТ-4.6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Туман серной кислоты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0,996 – 0,999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получения элементарной серы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Циклонные топки до-жига хвостовых газов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Сероводород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 – 0,99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по производству битума</w:t>
            </w:r>
          </w:p>
        </w:tc>
        <w:tc>
          <w:tcPr>
            <w:tcW w:type="dxa" w:w="2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Циклонные топки дожига газов окисления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Углеводороды (суммарно)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 – 0,90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углерода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 – 0,98</w:t>
            </w:r>
          </w:p>
        </w:tc>
      </w:tr>
      <w:tr>
        <w:tc>
          <w:tcPr>
            <w:tcW w:type="dxa" w:w="24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по производству СЖК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Циклонные топки дожига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Углеводороды (суммарно)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 – 0,98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углерода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 – 0,99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Спирты (в пересчете на пропиловый)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 – 0,97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 (в пересчете на этилацетон)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 – 0,99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Карбоновые кислоты (в пересчете на уксусную кислоту)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 – 0,85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Альдегиды (в пересчете на уксусную кислоту)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 – 0,95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получения смазок и присадок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этилбензола, спирта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Насадочные абсорбенты с насадкой из колец Рашига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орошаемых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одиночный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Хлористый водород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 – 0,95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два, три аппарата последовательно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орошаемых 15 – 20 %-м раствором NaOH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Насадочные абсорбенты с насадкой из колец Рашига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Фенал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 – 0,95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Хлористый водород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 – 0,99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 – 0,99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Сероводород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 – 0,98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орошаемых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полиалкилбензо-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из двух по-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следовательных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аппаратов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 – 0,96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орошаемых водой из одного аппарата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Хлористый водород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 – 0,95</w:t>
            </w:r>
          </w:p>
        </w:tc>
      </w:tr>
      <w:tr>
        <w:tc>
          <w:tcPr>
            <w:tcW w:type="dxa" w:w="24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Ремонтные производ-ства, деревоотделоч-ные цеха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производства, не указанные выше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Циклоны Гипродревпрома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Древесные опилки и стружка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 – 0,95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Тканевые фильтры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с размером частиц менее 100 мкм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0,955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Осадительные камеры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с размером частиц более 100 мкм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 – 0,60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Одиночные циклоны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дисперсная фаза с размером частиц более 10 мкм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0,90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Батарейные циклоны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 – 0,90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Электеофильтры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дисперсная фаза, например пыль катализатора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0,995 – 0,999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Пенные аппараты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с размером частиц более 1 мкм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 – 0,95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Хлористый водород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 – 0,99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Полые промыватели с орошением водой пневматическими форсунками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с размером частиц более 1 мкм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 – 0,90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же, но с оросителями, работающими по принципу соударения струй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 – 0,85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же, но с центробежными форсунками, расположенными в верхнем поясе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 – 0,90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же, но в верхнем и среднем поясе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 – 0,90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czlqgkhxjrg1szu0f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dalil.kg/document/230043264</w:t>
      </w:r>
    </w:hyperlink>
  </w:p>
  <w:p>
    <w:pPr>
      <w:spacing w:after="0" w:before="40"/>
      <w:jc w:val="center"/>
    </w:pPr>
    <w:hyperlink w:history="1" r:id="rIdcq1eqx_xup5l4olvjmy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czlqgkhxjrg1szu0fgw" Type="http://schemas.openxmlformats.org/officeDocument/2006/relationships/hyperlink" Target="https://dalil.kg/document/230043264" TargetMode="External"/><Relationship Id="rIdcq1eqx_xup5l4olvjmy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2026-09-26T13:09:05.125Z</dcterms:created>
  <dcterms:modified xsi:type="dcterms:W3CDTF">2026-09-26T13:09:05.125Z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