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РАСЧЕТА ВЫБРОСОВ ЗАГРЯЗНЯЮЩИХ ВЕЩЕСТВ ПРИ ПРОИЗВОДСТВЕ МЕБЕЛИ, ФАНЕРЫ И ДРЕВЕСНО-СТРУЖЕЧНЫХ ПЛИТ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Характерными выделениями загрязняющих веществ при производстве мебели, фанеры, древесно-стружечных плит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механической обработке древесины и древесно-стружечных плит – опилки, пыль, формальдегид;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фанеровании древесных щитов – формальдегид, фенол, аммиак;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изготовлении пенополиуретановых изделий – гексаметилендиамин, оксид этилена, оксид углерода;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изготовлении и отделке пленки – формальдегид, ароматические углеводороды, эфиры, спирты;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горячем прессовании – формальдегид, фенол, аммиак;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основном производстве плит – формальдегид, аммиак, пыль.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пыли, образующейся при обработке древесины на деревообрабатывающих и шлифовальных станках (т/год), определяется по формуле:</w:t>
      </w:r>
    </w:p>
    <w:p>
      <w:pPr>
        <w:spacing w:after="120" w:before="240"/>
        <w:ind w:firstLine="900"/>
        <w:jc w:val="center"/>
      </w:pPr>
      <w:r>
        <w:rPr>
          <w:rFonts w:ascii="Arial" w:cs="Arial" w:eastAsia="Arial" w:hAnsi="Arial"/>
          <w:sz w:val="24"/>
          <w:szCs w:val="24"/>
        </w:rPr>
        <w:t xml:space="preserve">, (1.)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К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– коэффициент эффективности местных отсосов; К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содержание (%) в отходах пыли с размером частиц менее 200 мкм (табл. 1.);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количество древесных отходов (кг/ч), получаемых при обработке древесины на различных станках (табл. 2.); τ – время работы оборудования (ч).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(К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%) пыли в отходах при различных технологических процессах обработки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Процесс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Кп (%)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Процесс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Кп (%)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Фрезерование 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технологической щепы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Сверление 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сухой стружки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Строгание 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отходов, получаемых при обработке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древесины на различных станках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2"/>
        <w:gridCol w:w="2275"/>
        <w:gridCol w:w="2241"/>
      </w:tblGrid>
      <w:tr>
        <w:tc>
          <w:tcPr>
            <w:tcW w:type="dxa" w:w="5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2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отходов, кг/ч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пыли с размером частиц менее 200 мкм (%)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Круглопильные станки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Прирезной ПДК-4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Деляно-реечный ЦА-2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многопильный ЦМР-1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Торцовочный ЦМЭ-2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Концеравнитель двухпильный Ц2 и К12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Формативный четырехпильный с фрезерными головками ЦФ-2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СР-6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СР-12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СР-18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Рейсмусовые двусторонние: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С2Р8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С2Р12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С2Р16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Четырехсторонние строгальные: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СК-15, С16-4, С16-5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СП-30, С-26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Фрезерный Ф-4, Ф-5, Ф-6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Фрезерный с автоподачей ФА-4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Карусельно-фрезерный Ф1К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Шипорезные станки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 рамный ШО-10: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пила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шипорезные фрезы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Односторонний рамный ШО-6: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Пила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шипорезные головки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проушечный диск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фрезерные головки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Универсальный круглопильный УП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Ленточнопильные станки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Ленточнопильный делитель ЛД-140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Ленточнопильный столярный ЛС-80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Строгальные станки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Фуговальные с ручной подачей: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СФ-3, СФ-4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СФ-6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Фуговальные с механической подачей: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СФА-4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СФА-6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Рейсмусовый односторонний СР-3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Шипорезный рамный МД-100: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Пила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шипорезные фрезы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проушечные фрезы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Сверлильный и долбежные станки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Сверлильный горизонтальный СвПА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Сверлильный вертикальный с автоподачей СВА-2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Цепнодолбежный ДЦА-2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Шлифовальные станки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свободной лентой ШлСЛ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Ленточный с неподвижным столом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ШЛНС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диском и бобиной ШлДБ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двумя дисками Шл2Д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Трехцилиндровый Шл3Ц-3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Трехцилиндровый Шл3ЦВ-3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компонента загрязняющего вещества, поступающего в атмосферу при производстве отделочных материалов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, т/год), определяется по формуле:</w:t>
      </w:r>
    </w:p>
    <w:p>
      <w:pPr>
        <w:spacing w:after="120"/>
        <w:ind w:firstLine="900"/>
        <w:jc w:val="center"/>
      </w:pPr>
      <w:r>
        <w:rPr>
          <w:rFonts w:ascii="Arial" w:cs="Arial" w:eastAsia="Arial" w:hAnsi="Arial"/>
          <w:sz w:val="24"/>
          <w:szCs w:val="24"/>
        </w:rPr>
        <w:t xml:space="preserve">, (2.)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– количество расходуемого материала (т/год);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– содержание компонента в летучей части расходуемого материала (%).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формальдегида или фенола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, т/год), поступающих в атмосферу при производстве мебели, фанеры и древесно-стружечных плит, определяется по формуле:</w:t>
      </w:r>
    </w:p>
    <w:p>
      <w:pPr>
        <w:spacing w:after="120"/>
        <w:ind w:firstLine="900"/>
        <w:jc w:val="center"/>
      </w:pPr>
      <w:r>
        <w:rPr>
          <w:rFonts w:ascii="Arial" w:cs="Arial" w:eastAsia="Arial" w:hAnsi="Arial"/>
          <w:sz w:val="24"/>
          <w:szCs w:val="24"/>
        </w:rPr>
        <w:t xml:space="preserve">, (3.)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– количество расходуемой смолы (т/год);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φ</w:t>
      </w:r>
      <w:r>
        <w:rPr>
          <w:rFonts w:ascii="Arial" w:cs="Arial" w:eastAsia="Arial" w:hAnsi="Arial"/>
          <w:sz w:val="24"/>
          <w:szCs w:val="24"/>
        </w:rPr>
        <w:t xml:space="preserve"> – содержание (%) свободного формальдегида или фенола в составе смолы (табл. 3 – 6);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 – коэффициент, определяемой технологической операцией. 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 принимаются равными: при процессах намазки 0,25; при фанеровании натурального и синтетического шпона 0,05; при пропитке (ламинировании) бумаги 0,5; при производстве древесно-стружечных плит (пропитка стружки смолой, горячее прессование, охлаждение плит) 0,4; при производстве фанеры 0,5.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формальдегида и аммиака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т/год) поступающих в атмосферу при использовании смол, содержащих эти компоненты, можно определить также по удельным показателям:</w:t>
      </w:r>
    </w:p>
    <w:p>
      <w:pPr>
        <w:spacing w:after="120"/>
        <w:ind w:firstLine="900"/>
        <w:jc w:val="center"/>
      </w:pPr>
      <w:r>
        <w:rPr>
          <w:rFonts w:ascii="Arial" w:cs="Arial" w:eastAsia="Arial" w:hAnsi="Arial"/>
          <w:sz w:val="24"/>
          <w:szCs w:val="24"/>
        </w:rPr>
        <w:t xml:space="preserve">;   </w:t>
      </w:r>
      <w:r>
        <w:rPr>
          <w:rFonts w:ascii="Arial" w:cs="Arial" w:eastAsia="Arial" w:hAnsi="Arial"/>
          <w:sz w:val="24"/>
          <w:szCs w:val="24"/>
        </w:rPr>
        <w:t xml:space="preserve">, (4.)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– удельный выброс (г/кг расходуемой смолы) формальдегида и аммиака (табл. 7)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табл. 3. – 6. приведены составы смол и лаков, наиболее часто применяемых при производстве мебели, фанеры и древесно-стружечных плит.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смол, применяемых для производства мебели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8"/>
        <w:gridCol w:w="1275"/>
        <w:gridCol w:w="1351"/>
        <w:gridCol w:w="1351"/>
        <w:gridCol w:w="1351"/>
        <w:gridCol w:w="1351"/>
      </w:tblGrid>
      <w:tr>
        <w:tc>
          <w:tcPr>
            <w:tcW w:type="dxa" w:w="3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12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смолы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М-60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М-70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М-19-62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Формалин (37 %)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270,2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Аммиачная вода (25 %)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– 2,8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– 3,0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Едкий натр (42 %)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0,5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0,7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0,7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аммоний (20 %)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– 0,2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0,3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– 0,3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формальдегид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– 4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1,5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– 3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– 1,2</w:t>
            </w:r>
          </w:p>
        </w:tc>
      </w:tr>
      <w:tr>
        <w:tc>
          <w:tcPr>
            <w:tcW w:type="dxa" w:w="34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– 63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– 70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– 70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пропиточных смол и лаков в производстве синтетических пленок</w:t>
      </w:r>
    </w:p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97"/>
        <w:gridCol w:w="828"/>
        <w:gridCol w:w="816"/>
        <w:gridCol w:w="830"/>
        <w:gridCol w:w="830"/>
        <w:gridCol w:w="1164"/>
        <w:gridCol w:w="942"/>
        <w:gridCol w:w="830"/>
        <w:gridCol w:w="708"/>
        <w:gridCol w:w="830"/>
      </w:tblGrid>
      <w:tr>
        <w:tc>
          <w:tcPr>
            <w:tcW w:type="dxa" w:w="2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НЦ-2101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МФПС-1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МВПС-2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МЛ-21111-ПМ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ММПК-25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ММПК-50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СПМФ-4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Карбамид (100%)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110+30</w:t>
            </w:r>
            <w:hyperlink w:history="1" r:id="rIdvb9nraguyuuksnwoeqc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*</w:t>
              </w:r>
            </w:hyperlink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100+50*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Формалин (37 %)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Уротропин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Меламин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Капролактам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23,79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Бутанол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Изобутанол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ОП-7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формальдегид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0,5-0,1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2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28-33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040±1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51±1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– 54 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– 52 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– 50 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45 –50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</w:tbl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(%) отделочных материалов (растворители, лаки, краски, эмали, шпатлевка)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</w:tblGrid>
      <w:tr>
        <w:tc>
          <w:tcPr>
            <w:tcW w:type="dxa" w:w="5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9622"/>
            <w:gridSpan w:val="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РМЛ-218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РМЛ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РМЛ-315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РВД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РКБ-1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РКБ-2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Р-219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АМР-3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РЛ-277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РЛ-278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РЛ-251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Метилизобутилкетон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Бутиловый спирт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спирт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Этилцеллозольев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Этилгликольацетат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Летучая часть, 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1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Грунтовки</w:t>
            </w:r>
          </w:p>
        </w:tc>
        <w:tc>
          <w:tcPr>
            <w:tcW w:type="dxa" w:w="508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Лаки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
 вниваю
 щая жид
 кость РМЕ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
 ределите
 льная жид
 кость НЦ-313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
 ополитера
 тура НЦ-314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
 ировоч
 ная вода № 18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НЦ-0140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НЦ-221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НЦ-223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НЦ-243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НЦ-52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спирт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Этилцеллозольв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Окситерпеновый растворитель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Сольвент-нафта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«галоша»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Летучая часть, 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остаток, 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5.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904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Полиэфирные, поли- и нитроуретановые краски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ПЭ-250М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УР-277М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ПЭ-251Б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УР-245М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Битулацетат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2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– 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– 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Метилизобутилкетон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– 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– 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Этилгликольацетат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Летучая часть,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– 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остаток, %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– 71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табл. 5.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3"/>
        <w:gridCol w:w="847"/>
        <w:gridCol w:w="847"/>
        <w:gridCol w:w="847"/>
        <w:gridCol w:w="847"/>
        <w:gridCol w:w="847"/>
        <w:gridCol w:w="847"/>
        <w:gridCol w:w="847"/>
        <w:gridCol w:w="847"/>
        <w:gridCol w:w="847"/>
        <w:gridCol w:w="847"/>
      </w:tblGrid>
      <w:tr>
        <w:tc>
          <w:tcPr>
            <w:tcW w:type="dxa" w:w="17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847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ПЭ-276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НЦ-132П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НЦ-1125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НЦ-258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Этилцеллозольв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– 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Бутанол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Этанол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– 1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Уайт-спирит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Летучая часть, %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–10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–90 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табл. 5.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1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</w:tblGrid>
      <w:tr>
        <w:tc>
          <w:tcPr>
            <w:tcW w:type="dxa" w:w="15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867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Шпатлевки, грунтовки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ПФ-002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НЦ-008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ХВ-005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ГФ-032, ГС, ГФ-0163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ГФ-031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ГФ-032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ФЛ-03К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ФЛ-03Ж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ХС-010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АК-070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ХВК-2А</w:t>
            </w:r>
          </w:p>
        </w:tc>
      </w:tr>
      <w:tr>
        <w:tc>
          <w:tcPr>
            <w:tcW w:type="dxa" w:w="1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</w:tr>
      <w:tr>
        <w:tc>
          <w:tcPr>
            <w:tcW w:type="dxa" w:w="1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1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Бутанол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Уайт-спирит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Летучая часть, %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остаток, %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смол для производства фанеры и древесно-стружечных плит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7"/>
        <w:gridCol w:w="723"/>
        <w:gridCol w:w="1363"/>
        <w:gridCol w:w="1363"/>
        <w:gridCol w:w="1363"/>
        <w:gridCol w:w="902"/>
        <w:gridCol w:w="902"/>
        <w:gridCol w:w="902"/>
        <w:gridCol w:w="902"/>
      </w:tblGrid>
      <w:tr>
        <w:tc>
          <w:tcPr>
            <w:tcW w:type="dxa" w:w="17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40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Карбамидоформальдегидные</w:t>
            </w:r>
          </w:p>
        </w:tc>
        <w:tc>
          <w:tcPr>
            <w:tcW w:type="dxa" w:w="36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Фенолформальдегидные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КФ-МТ (КС-68М)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КФ-5 (КС-68Б)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КФ-Ж (М9-62Б)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СФЖ-3014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СФЖ-3013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СФЖ-3011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С-50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Карбамид (100 %)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Формалин (37%)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216,26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 кристаллической (98 – 99,9 %)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Едкий натр (100 %)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– 0,14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Аммиачная вода (25 %)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аммоний (20 %)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в.ч.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формальде-гид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фенол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66±1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67±2</w:t>
            </w:r>
          </w:p>
        </w:tc>
        <w:tc>
          <w:tcPr>
            <w:tcW w:type="dxa" w:w="1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67±2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В скобках дана марка по отмененной нормативно-технической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Удельное выделение загрязняющих веществ (г/кг)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0"/>
        <w:gridCol w:w="3406"/>
        <w:gridCol w:w="3363"/>
      </w:tblGrid>
      <w:tr>
        <w:tc>
          <w:tcPr>
            <w:tcW w:type="dxa" w:w="3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формальдегида (или аммиака) в смоле, %</w:t>
            </w:r>
          </w:p>
        </w:tc>
        <w:tc>
          <w:tcPr>
            <w:tcW w:type="dxa" w:w="3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3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</w:tr>
      <w:tr>
        <w:tc>
          <w:tcPr>
            <w:tcW w:type="dxa" w:w="3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3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</w:t>
            </w:r>
          </w:p>
        </w:tc>
        <w:tc>
          <w:tcPr>
            <w:tcW w:type="dxa" w:w="3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z-gk2mzkzwg2rr3p5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dalil.kg/document/230043271</w:t>
      </w:r>
    </w:hyperlink>
  </w:p>
  <w:p>
    <w:pPr>
      <w:spacing w:after="0" w:before="40"/>
      <w:jc w:val="center"/>
    </w:pPr>
    <w:hyperlink w:history="1" r:id="rId28mmo6cecacfm2u-60z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9nraguyuuksnwoeqcfr" Type="http://schemas.openxmlformats.org/officeDocument/2006/relationships/hyperlink" Target="https://dalil.kg/document/230043271#_ftn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z-gk2mzkzwg2rr3p5ma" Type="http://schemas.openxmlformats.org/officeDocument/2006/relationships/hyperlink" Target="https://dalil.kg/document/230043271" TargetMode="External"/><Relationship Id="rId28mmo6cecacfm2u-60z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2026-09-26T13:08:44.926Z</dcterms:created>
  <dcterms:modified xsi:type="dcterms:W3CDTF">2026-09-26T13:08:44.926Z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