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экспортного контроля и лицензирования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и автоматизации административных процессов выдачи разрешительных документов, необходимых для осуществления внешнеэкономической деятельности, в соответствии со </w:t>
      </w:r>
      <w:hyperlink w:history="1" r:id="rIdf8l8phgok_v5phl2hw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экспортном контроле», статьями </w:t>
      </w:r>
      <w:hyperlink w:history="1" r:id="rIdqx8adc6cmdrtvn3sqa4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dxzdnntfk2ugo7fa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x7ywxhgewothfsnn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j63l5ugprmihthbp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– цифровая запись, неизменность которой обеспечивается с помощью цифровой подписи или идентификатора, используемых в соответствии с правилами системы идентификации;»;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цифровой форме, которая присоединена к другой информации в цифровой форме и (или) логически связана с ней и используется для обеспечения неизменности цифрового документа и определения автора цифрового документа;»;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вышеуказанному </w:t>
      </w:r>
      <w:hyperlink w:history="1" r:id="rIdldmb0qpmku_08fhd3v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poozdnt8me2fqrynl4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_vhevfswnksalfo93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осуществления экспортного контроля за контролируемой продукцией в Кыргызской Республике» от 13 сентября 2024 года № 573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Перечень товаров, при осуществлении внешнеэкономической деятельности не относящихся к контролируемой продукции, утверждается уполномоченным государственным органом в сфере таможенного дела по согласованию с уполномоченным государственным органом в сфере экспортного контроля и носит рекомендательный характер для целей первичной идентификации товаров при совершении таможенных операций и проведении таможенного контроля.».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incrmtbf3ztp09r5x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выдачи электронных разрешительных и иных документов для осуществления внешнеэкономической деятельности по принципу «единого окна» от 18 июня 2025 года № 349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cv-dsdhe2q1gxfrcv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электронных разрешительных и иных документов для осуществления внешнеэкономической деятельности по принципу «единого окна»,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слова «Tulpar System»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подпункте 2 слово «ИСЭО» заменить словом «ИСЕО»;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 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уполномоченным государственным органом, устанавливающий принадлежность либо непринадлежность объекта внешнеэкономической деятельности к продукции, включенной в перечни контролируемых товаров, а также определяющий применимость к нему мер экспортного контроля и нетарифного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лицо, работающее</w:t>
      </w:r>
      <w:r>
        <w:rPr>
          <w:rFonts w:ascii="Arial" w:cs="Arial" w:eastAsia="Arial" w:hAnsi="Arial"/>
          <w:sz w:val="24"/>
          <w:szCs w:val="24"/>
        </w:rPr>
        <w:t xml:space="preserve"> в сервис-центре по работе с обращениями, осуществляющее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11,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</w:t>
      </w:r>
      <w:r>
        <w:rPr>
          <w:rFonts w:ascii="Arial" w:cs="Arial" w:eastAsia="Arial" w:hAnsi="Arial"/>
          <w:sz w:val="24"/>
          <w:szCs w:val="24"/>
        </w:rPr>
        <w:t xml:space="preserve"> – оформленный на бумажном носителе документ установленной формы (лицензия, разрешение), выданный уполномоченным государственным органом на экспорт/импорт/транзит продукции двойного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 </w:t>
      </w:r>
      <w:r>
        <w:rPr>
          <w:rFonts w:ascii="Arial" w:cs="Arial" w:eastAsia="Arial" w:hAnsi="Arial"/>
          <w:sz w:val="24"/>
          <w:szCs w:val="24"/>
        </w:rPr>
        <w:t xml:space="preserve">– документ (письмо) уполномоченного государственного органа, сформированный в ИСЕО, содержащий пояснения по вопросам применения мер экспортного контроля и нетарифного регулирования в отношении объектов внешнеэкономической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«СМС-сообщений на мобильные телефоны и/или»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«Министерстве экономики и коммерции Кыргызской Республики» заменить словами «Государственной таможенной службе при Кабинете Министров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Онлайн-сервис: </w:t>
      </w:r>
      <w:r>
        <w:rPr>
          <w:rFonts w:ascii="Arial" w:cs="Arial" w:eastAsia="Arial" w:hAnsi="Arial"/>
          <w:sz w:val="24"/>
          <w:szCs w:val="24"/>
        </w:rPr>
        <w:t xml:space="preserve">https://signup.trade.kg/</w:t>
      </w:r>
      <w:r>
        <w:rPr>
          <w:rFonts w:ascii="Arial" w:cs="Arial" w:eastAsia="Arial" w:hAnsi="Arial"/>
          <w:sz w:val="24"/>
          <w:szCs w:val="24"/>
        </w:rPr>
        <w:t xml:space="preserve"> предоставляет всем участникам внешнеэкономической деятельности возможность зарегистрироваться в ИСЕО онлайн для подачи заявок на получение разрешительных и других необходимых документов.»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«10.</w:t>
      </w:r>
      <w:r>
        <w:rPr>
          <w:rFonts w:ascii="Arial" w:cs="Arial" w:eastAsia="Arial" w:hAnsi="Arial"/>
          <w:sz w:val="24"/>
          <w:szCs w:val="24"/>
        </w:rPr>
        <w:t xml:space="preserve"> Интерфейс ИСЕО для участника ВЭД создан для обеспечения возможности оформления заявления непосредственно самим участником ВЭД без обращения в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Подача электронного заявления в ИСЕО на получение электронного разрешительного документа участником ВЭД может производиться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онлайн подача посредством удаленного оператора Центра «единого окна»;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через Центр «единого окна».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 оператор ИСЕО регистрирует участника ВЭД в ИСЕО, создает электронную версию заявления, подписывает своей цифровой подписью и подает заявление в ИСЕО.»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Каждый лист представленных копий документов подлежит заверению подписью и печатью заявителя в случае подачи документов через ИСЕО. При подаче документов через личный кабинет заверение подписью и печатью не требуется. К документам, составленным на иностранных языках, в установленном порядке прилагаются нотариально заверенные переводы на государственном или официальном языках.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персональную ответственность за достоверность представленных документов, правильность и полноту перевода, а также соответствие перевода оригиналу.»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«25. Уполномоченный государственный орган-эксперт</w:t>
      </w:r>
      <w:r>
        <w:rPr>
          <w:rFonts w:ascii="Arial" w:cs="Arial" w:eastAsia="Arial" w:hAnsi="Arial"/>
          <w:sz w:val="24"/>
          <w:szCs w:val="24"/>
        </w:rPr>
        <w:t xml:space="preserve"> в течение 3 рабочих дней с даты регистрации электронного заявления осуществляет экспертизу представленных сопроводительных документов для идентификации заявленного товара и подготавливает проект идентификационного заключения либо мотивированного отказа в его выдаче по формам согласно приложениям 2, 3, 4 к настоящему Положению. Сформированный документ представляется на подпись должностному лицу 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уполномоченного государственного органа-эксперта</w:t>
      </w:r>
      <w:r>
        <w:rPr>
          <w:rFonts w:ascii="Arial" w:cs="Arial" w:eastAsia="Arial" w:hAnsi="Arial"/>
          <w:sz w:val="24"/>
          <w:szCs w:val="24"/>
        </w:rPr>
        <w:t xml:space="preserve">, обладающему соответствующими полномочиями, и выдается заявителю посредством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ИСЕО </w:t>
      </w:r>
      <w:r>
        <w:rPr>
          <w:rFonts w:ascii="Arial" w:cs="Arial" w:eastAsia="Arial" w:hAnsi="Arial"/>
          <w:sz w:val="24"/>
          <w:szCs w:val="24"/>
        </w:rPr>
        <w:t xml:space="preserve">осуществляется автоматизированный анализ выданных идентификационных заключений и формирование отчетности, которая ежемесячно до 5 числа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месяца, следующего за отчетным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направляется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Администрацию Президента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2026 года №25 (3785)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 ведомств/организаций, взаимодействующих при оформлении документов через информационную систему «Единое окно»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729"/>
        <w:gridCol w:w="4855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4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перерабатывающей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58hl5gs2golvfaktn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dalil.kg/document/230043474</w:t>
      </w:r>
    </w:hyperlink>
  </w:p>
  <w:p>
    <w:pPr>
      <w:spacing w:after="0" w:before="40"/>
      <w:jc w:val="center"/>
    </w:pPr>
    <w:hyperlink w:history="1" r:id="rIdanjqkulyp4i8bz4yei1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l8phgok_v5phl2hwilg" Type="http://schemas.openxmlformats.org/officeDocument/2006/relationships/hyperlink" Target="https://dalil.kg/document/1154#st_8" TargetMode="External"/><Relationship Id="rIdqx8adc6cmdrtvn3sqa4qg" Type="http://schemas.openxmlformats.org/officeDocument/2006/relationships/hyperlink" Target="https://dalil.kg/document/112301#st_13" TargetMode="External"/><Relationship Id="rId90dxzdnntfk2ugo7fadyo" Type="http://schemas.openxmlformats.org/officeDocument/2006/relationships/hyperlink" Target="https://dalil.kg/document/112301#st_17" TargetMode="External"/><Relationship Id="rIde3x7ywxhgewothfsnns2_" Type="http://schemas.openxmlformats.org/officeDocument/2006/relationships/hyperlink" Target="https://dalil.kg/document/158182" TargetMode="External"/><Relationship Id="rIdvgj63l5ugprmihthbpm-b" Type="http://schemas.openxmlformats.org/officeDocument/2006/relationships/hyperlink" Target="https://dalil.kg/document/158183" TargetMode="External"/><Relationship Id="rIdldmb0qpmku_08fhd3vngy" Type="http://schemas.openxmlformats.org/officeDocument/2006/relationships/hyperlink" Target="https://dalil.kg/document/158183" TargetMode="External"/><Relationship Id="rIdpoozdnt8me2fqrynl4fig" Type="http://schemas.openxmlformats.org/officeDocument/2006/relationships/hyperlink" Target="https://dalil.kg/document/230043474#pr" TargetMode="External"/><Relationship Id="rIdf_vhevfswnksalfo93onn" Type="http://schemas.openxmlformats.org/officeDocument/2006/relationships/hyperlink" Target="https://dalil.kg/document/230014873" TargetMode="External"/><Relationship Id="rIdtincrmtbf3ztp09r5xn_u" Type="http://schemas.openxmlformats.org/officeDocument/2006/relationships/hyperlink" Target="https://dalil.kg/document/230029750" TargetMode="External"/><Relationship Id="rIdcucv-dsdhe2q1gxfrcv1q" Type="http://schemas.openxmlformats.org/officeDocument/2006/relationships/hyperlink" Target="https://dalil.kg/document/2300436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58hl5gs2golvfaktnyz" Type="http://schemas.openxmlformats.org/officeDocument/2006/relationships/hyperlink" Target="https://dalil.kg/document/230043474" TargetMode="External"/><Relationship Id="rIdanjqkulyp4i8bz4yei1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2026-09-24T01:15:18.173Z</dcterms:created>
  <dcterms:modified xsi:type="dcterms:W3CDTF">2026-09-24T01:15:18.173Z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