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персонифицированном (индивидуальном) учете граждан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для целей обязательного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социального страхования»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ves2_wh1xfysz5diz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персонифицированном (индивидуальном) учете граждан Кыргызской Республики для целей обязательного государственного социального страхования» (Ведомости Жогорку Кенеша Кыргызской Республики, 1999 г., № 4, ст.194)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Персональный идентификационный номер -</w:t>
      </w:r>
      <w:r>
        <w:rPr>
          <w:rFonts w:ascii="Arial" w:cs="Arial" w:eastAsia="Arial" w:hAnsi="Arial"/>
          <w:sz w:val="24"/>
          <w:szCs w:val="24"/>
        </w:rPr>
        <w:t xml:space="preserve"> индивидуальный номер, присваиваемый уполномоченным государственным органом, определяемым Кабинетом Министров Кыргызской Республики, гражданам Кыргызской Республики, иностранным гражданам и лицам без гражданства один раз и сохраняющийся за этими лицами в течение всей их жизни без изменения, за исключением случаев, предусмотренных порядком, определяемым Кабинетом Министров Кыргызской Республики, а также законодательством о защите прав свидетелей, потерпевших и иных участников уголовного судопроизводства.»;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Присвоение и изменение персонального идентификационного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изменения персонального идентификационного номера определяется Кабинетом Министров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апреля 2026 года № 27 (3787)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марта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rkwfuxap7tc2-d_wc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dalil.kg/document/230044277</w:t>
      </w:r>
    </w:hyperlink>
  </w:p>
  <w:p>
    <w:pPr>
      <w:spacing w:after="0" w:before="40"/>
      <w:jc w:val="center"/>
    </w:pPr>
    <w:hyperlink w:history="1" r:id="rIdekydazjyr1b1f6dguce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es2_wh1xfysz5dizjke" Type="http://schemas.openxmlformats.org/officeDocument/2006/relationships/hyperlink" Target="https://dalil.kg/document/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rkwfuxap7tc2-d_wcid" Type="http://schemas.openxmlformats.org/officeDocument/2006/relationships/hyperlink" Target="https://dalil.kg/document/230044277" TargetMode="External"/><Relationship Id="rIdekydazjyr1b1f6dguce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2026-09-24T22:44:52.264Z</dcterms:created>
  <dcterms:modified xsi:type="dcterms:W3CDTF">2026-09-24T22:44:52.264Z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