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апреля 2026 года № 139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замещения административных государственных и муниципальных должностей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регламентации вопросов замещения административных государственных и муниципальных должностей, в соответствии со статьями </w:t>
      </w:r>
      <w:hyperlink w:history="1" r:id="rIdqanawoxce1uphxqlqp-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swcphwhkqxeyrqopwa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</w:t>
      </w:r>
      <w:hyperlink w:history="1" r:id="rId10ccdryvuovdxlwlncm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ve4tcfx8wpmzpcpfwv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категорией административной государственной и административной муниципальной должности является классификационная характеристика совокупности административных должностей, занимаемых государственными гражданскими служащими и муниципальными служащими, отражающая объем и характер должностных полномочий. Высшая, главная, старшая, младшая группы административных должностей подразделяются на категории В-А, В-Б, Г-А, Г-Б, С-А, С-Б, М-А, М-Б;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связанные с реализацией настоящего Указа, осуществляются в пределах средств, предусмотренных для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в особом (внеконкурсном) порядке на отдельные административные государственные и муниципальные должности осуществляется при условии соответствия назначаемого лица квалификационным и иным требованиям, установленным законодательством в сфере государственной гражданской службы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замещение вакантных административных государственных должностей в центральных аппаратах министерств в особом (внеконкурсном) порядке в количестве, не превышающем десяти процентов от установленной штатной численности центрального аппарата министерства, осуществляется в целях обеспечения выработки и эффективной реализации реформ в соответствующей сфере деятельности министерства.";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abf71ytzhunf7aw_kk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 </w:t>
      </w:r>
      <w:hyperlink w:history="1" r:id="rIdkbiuwh5ua30nmeufb9n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после слов "постоянный представитель Жогорку Кенеша в Конституционном суде" дополнить словами ", пресс-секретарь Торага Жогорку Кенеша";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после слов "консультант Аппарата Жогорку Кенеша" дополнить словами ", спичрайтер Торага Жогорку Кенеша";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 </w:t>
      </w:r>
      <w:hyperlink w:history="1" r:id="rIdo99vjtahnbdo6xwpivz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Аппарат Жогорку Кенеша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15"/>
        <w:gridCol w:w="8863"/>
      </w:tblGrid>
      <w:tr>
        <w:tc>
          <w:tcPr>
            <w:tcW w:type="dxa" w:w="13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</w:t>
            </w:r>
          </w:p>
        </w:tc>
        <w:tc>
          <w:tcPr>
            <w:tcW w:type="dxa" w:w="8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Аппарат Жогорку Кенеша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Главная должность</w:t>
            </w:r>
          </w:p>
        </w:tc>
      </w:tr>
      <w:tr>
        <w:tc>
          <w:tcPr>
            <w:tcW w:type="dxa" w:w="1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Г-А</w:t>
            </w:r>
          </w:p>
        </w:tc>
        <w:tc>
          <w:tcPr>
            <w:tcW w:type="dxa" w:w="8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секретариатом фракции (депутатской группы)(*)</w:t>
            </w:r>
          </w:p>
        </w:tc>
      </w:tr>
      <w:tr>
        <w:tc>
          <w:tcPr>
            <w:tcW w:type="dxa" w:w="1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Г-Б</w:t>
            </w:r>
          </w:p>
        </w:tc>
        <w:tc>
          <w:tcPr>
            <w:tcW w:type="dxa" w:w="8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секретариата фракции (депутатской группы)(*)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Старшая должность</w:t>
            </w:r>
          </w:p>
        </w:tc>
      </w:tr>
      <w:tr>
        <w:tc>
          <w:tcPr>
            <w:tcW w:type="dxa" w:w="1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С-А</w:t>
            </w:r>
          </w:p>
        </w:tc>
        <w:tc>
          <w:tcPr>
            <w:tcW w:type="dxa" w:w="8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консультант секретариата фракции (депутатской группы)(*)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секретариата фракции (депутатской группы)(*)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специалист(*)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"Главная должность" пункта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графы "Территориальные органы министерств, государственных комитетов" категории "Г-А" обозначение "(*****)"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графы "Министерства, государственные комитеты" категории "Г-Б"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министра по особым поручениям(****)";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графы "Местные государственные администрации" категории "С-А" группы "Старшая должность" пункта 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графы "Правоохранительные органы" категории "С-А" группы "Старшая должность" пункта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по вопросам предупреждения коррупции(*****)";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к главам 1-4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 к главам 1-4: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"руководитель", "заместитель руководителя" являются унифицированными названиями руководящей должности соответствующего государственного органа. Данное правило также распространяется на соответствующие подразделения (структурные, территориальные и т.д.) самого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заместителя руководителя государственного органа/подразделения государственного органа включает должность первого заместителя руководителя государственного органа/подразделения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должностью заведующего также понимается должность начальника, под должностью руководителя - должность директора/заведующего/начальника.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административные государственные должности, назначение на которые осуществляется в особом (внеконкурсном)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центральных аппаратах министерств допускается замещение вакантных должностей государственной гражданской службы в особом (внеконкурсном) порядке в количестве, не превышающем десяти процентов от установленной штатной численности центрального аппарата министерства. Перечень административных государственных должностей, назначение на которые осуществляется в особом (внеконкурсном) порядке, утверждается соответствующим министром не чаще одного раза в год по согласованию с уполномоченным государственным органом по делам государственной гражданской службы и муниципальной службы с учетом должностей, назначение на которые в особом "внеконкурсном" порядке предусмотрено пунктом 6 главы 4 раздела II настоящего Реестра;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Государственном агентстве гражданской авиации при Кабинете Министров Кыргызской Республики назначение в особом (внеконкурсном) порядке осуществляется на все вакантные административные государственные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административная государственная должность может быть предусмотрена в подведомственных подразделениях государственных органов по согласованию со структурным подразделением Администрации Президента Кыргызской Республики, ведающим вопросами информационной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административная государственная должность вводится в аппарате полномочного представителя Президента Кыргызской Республики в Нарынской области Кыргызской Республики на пилотной основе на период до принятия Кабинетом Министров Кыргызской Республики соответствующего решения об утверждении структуры и штатного расписания аппаратов полномочных представителей Президента Кыргызской Республики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(****) - административная государственная должность в центральных аппаратах Министерства юстиции Кыргызской Республики и Министерства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(*****)</w:t>
      </w:r>
      <w:r>
        <w:rPr>
          <w:rFonts w:ascii="Arial" w:cs="Arial" w:eastAsia="Arial" w:hAnsi="Arial"/>
          <w:sz w:val="24"/>
          <w:szCs w:val="24"/>
        </w:rPr>
        <w:t xml:space="preserve"> -</w:t>
      </w:r>
      <w:r>
        <w:rPr>
          <w:rFonts w:ascii="Arial" w:cs="Arial" w:eastAsia="Arial" w:hAnsi="Arial"/>
          <w:sz w:val="24"/>
          <w:szCs w:val="24"/>
        </w:rPr>
        <w:t xml:space="preserve"> административная государственная должность в Генеральной прокуратуре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iq4acsfhrq2koanogga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Правил поступления в особом (внеконкурсном) порядке на административные государственные гражданские должности Государственного агентства гражданской авиации при Кабинете Министров Кыргызской Республики" от 30 января 2023 года №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апреля 2026 года № 27 (3787)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anawoxce1uphxqlqp-dm" Type="http://schemas.openxmlformats.org/officeDocument/2006/relationships/hyperlink" Target="http://kodeks.duckdns.org/document/112303#st_5" TargetMode="External"/><Relationship Id="rIdwswcphwhkqxeyrqopwa_9" Type="http://schemas.openxmlformats.org/officeDocument/2006/relationships/hyperlink" Target="http://kodeks.duckdns.org/document/112303#st_17" TargetMode="External"/><Relationship Id="rId10ccdryvuovdxlwlncmom" Type="http://schemas.openxmlformats.org/officeDocument/2006/relationships/hyperlink" Target="http://kodeks.duckdns.org/document/112213#st_71" TargetMode="External"/><Relationship Id="rIdrve4tcfx8wpmzpcpfwv8_" Type="http://schemas.openxmlformats.org/officeDocument/2006/relationships/hyperlink" Target="http://kodeks.duckdns.org/document/69262" TargetMode="External"/><Relationship Id="rIdlabf71ytzhunf7aw_kkru" Type="http://schemas.openxmlformats.org/officeDocument/2006/relationships/hyperlink" Target="http://kodeks.duckdns.org/document/69262#pr" TargetMode="External"/><Relationship Id="rIdkbiuwh5ua30nmeufb9noj" Type="http://schemas.openxmlformats.org/officeDocument/2006/relationships/hyperlink" Target="http://kodeks.duckdns.org/document/69262#pr_r1" TargetMode="External"/><Relationship Id="rIdo99vjtahnbdo6xwpivz2d" Type="http://schemas.openxmlformats.org/officeDocument/2006/relationships/hyperlink" Target="http://kodeks.duckdns.org/document/69262#pr_r2" TargetMode="External"/><Relationship Id="rIdiq4acsfhrq2koanoggagh" Type="http://schemas.openxmlformats.org/officeDocument/2006/relationships/hyperlink" Target="http://kodeks.duckdns.org/document/434883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2026-09-23T01:09:56.299Z</dcterms:created>
  <dcterms:modified xsi:type="dcterms:W3CDTF">2026-09-23T01:09:56.299Z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