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ksq1xfxiljvzheo9nyrf5">
        <w:r>
          <w:rPr>
            <w:rFonts w:ascii="Arial" w:cs="Arial" w:eastAsia="Arial" w:hAnsi="Arial"/>
            <w:i/>
            <w:iCs/>
            <w:color w:val="1D4ED8"/>
            <w:sz w:val="24"/>
            <w:szCs w:val="24"/>
            <w:u w:val="single"/>
          </w:rPr>
          <w:t xml:space="preserve">постановлению</w:t>
        </w:r>
      </w:hyperlink>
    </w:p>
    <w:p>
      <w:pPr>
        <w:spacing w:after="400" w:before="400"/>
        <w:jc w:val="center"/>
      </w:pPr>
      <w:r>
        <w:rPr>
          <w:rFonts w:ascii="Arial" w:cs="Arial" w:eastAsia="Arial" w:hAnsi="Arial"/>
          <w:b/>
          <w:bCs/>
          <w:sz w:val="32"/>
          <w:szCs w:val="32"/>
        </w:rPr>
        <w:t xml:space="preserve">ПОЛОЖЕНИЕ
 о порядке предоставления государственных гарантий Кабинетом Министров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устанавливает порядок предоставления государственных гарантий, регистрации предоставленных государственных гарантий, исполнения и прекращения обязательств по предоставленным государственным гарантиям.</w:t>
      </w:r>
    </w:p>
    <w:p>
      <w:pPr>
        <w:spacing w:after="60"/>
        <w:ind w:firstLine="567"/>
        <w:jc w:val="both"/>
      </w:pPr>
      <w:r>
        <w:rPr>
          <w:rFonts w:ascii="Arial" w:cs="Arial" w:eastAsia="Arial" w:hAnsi="Arial"/>
          <w:sz w:val="24"/>
          <w:szCs w:val="24"/>
        </w:rPr>
        <w:t xml:space="preserve">2. Исключительным правом предоставления государственных гарантий от имени Кыргызской Республики обладает Кабинет Министров Кыргызской Республики (далее - Кабинет Министров) в лице уполномоченного государственного органа по прогнозированию и исполнению бюджета.</w:t>
      </w:r>
    </w:p>
    <w:p>
      <w:pPr>
        <w:spacing w:after="60"/>
        <w:ind w:firstLine="567"/>
        <w:jc w:val="both"/>
      </w:pPr>
      <w:r>
        <w:rPr>
          <w:rFonts w:ascii="Arial" w:cs="Arial" w:eastAsia="Arial" w:hAnsi="Arial"/>
          <w:sz w:val="24"/>
          <w:szCs w:val="24"/>
        </w:rPr>
        <w:t xml:space="preserve">3. Если вступившими в силу в установленном законодательством порядке международными договорами, участницей которых является Кыргызская Республика, установлены иные правила, чем предусмотренные в Бюджетном </w:t>
      </w:r>
      <w:hyperlink w:history="1" r:id="rIduwxlwfoylvobx7np4lrq0">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 Кыргызской Республики и настоящем Положении, то применяются положения этих международных договоров.</w:t>
      </w:r>
    </w:p>
    <w:p>
      <w:pPr>
        <w:spacing w:after="200" w:before="200"/>
        <w:jc w:val="center"/>
      </w:pPr>
      <w:r>
        <w:rPr>
          <w:rFonts w:ascii="Arial" w:cs="Arial" w:eastAsia="Arial" w:hAnsi="Arial"/>
          <w:b/>
          <w:bCs/>
          <w:sz w:val="24"/>
          <w:szCs w:val="24"/>
        </w:rPr>
        <w:t xml:space="preserve">Глава 2. Определения и термины</w:t>
      </w:r>
    </w:p>
    <w:p>
      <w:pPr>
        <w:spacing w:after="60"/>
        <w:ind w:firstLine="567"/>
        <w:jc w:val="both"/>
      </w:pPr>
      <w:r>
        <w:rPr>
          <w:rFonts w:ascii="Arial" w:cs="Arial" w:eastAsia="Arial" w:hAnsi="Arial"/>
          <w:sz w:val="24"/>
          <w:szCs w:val="24"/>
        </w:rPr>
        <w:t xml:space="preserve">4. В настоящем Положении используются следующие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гарантийный случай</w:t>
      </w:r>
      <w:r>
        <w:rPr>
          <w:rFonts w:ascii="Arial" w:cs="Arial" w:eastAsia="Arial" w:hAnsi="Arial"/>
          <w:sz w:val="24"/>
          <w:szCs w:val="24"/>
        </w:rPr>
        <w:t xml:space="preserve"> - наступление обстоятельств, предусмотренных договором о государственной гарантии, при которых кредитор вправе предъявить требование об исполнении обязательства по государственной гарантии;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гарантийное требование</w:t>
      </w:r>
      <w:r>
        <w:rPr>
          <w:rFonts w:ascii="Arial" w:cs="Arial" w:eastAsia="Arial" w:hAnsi="Arial"/>
          <w:sz w:val="24"/>
          <w:szCs w:val="24"/>
        </w:rPr>
        <w:t xml:space="preserve"> - официальное обращение кредитора к Кабинету Министров с требованием исполнить обязательство по государственной гарантии в связи с наступлением гарантийного случая;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комиссия за предоставление государственной гарантии</w:t>
      </w:r>
      <w:r>
        <w:rPr>
          <w:rFonts w:ascii="Arial" w:cs="Arial" w:eastAsia="Arial" w:hAnsi="Arial"/>
          <w:sz w:val="24"/>
          <w:szCs w:val="24"/>
        </w:rPr>
        <w:t xml:space="preserve"> - плата, взимаемая за принятие риска по гарантии, включая оценку кредитного риска, административные расходы и последующий мониторинг;</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нецелевое использование государственной гарантии</w:t>
      </w:r>
      <w:r>
        <w:rPr>
          <w:rFonts w:ascii="Arial" w:cs="Arial" w:eastAsia="Arial" w:hAnsi="Arial"/>
          <w:sz w:val="24"/>
          <w:szCs w:val="24"/>
        </w:rPr>
        <w:t xml:space="preserve"> - использование обязательств, обеспеченных государственной гарантией, с нарушением условий, установленных договором о государственной гарантии;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условное обязательство</w:t>
      </w:r>
      <w:r>
        <w:rPr>
          <w:rFonts w:ascii="Arial" w:cs="Arial" w:eastAsia="Arial" w:hAnsi="Arial"/>
          <w:sz w:val="24"/>
          <w:szCs w:val="24"/>
        </w:rPr>
        <w:t xml:space="preserve"> - это потенциальное обязательство, возникающее в результате прошлых событий, исполнение которого зависит от наступления или ненаступления одного или нескольких будущих неопределенных событий, не полностью находящихся под контролем государства;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государственная гарантия</w:t>
      </w:r>
      <w:r>
        <w:rPr>
          <w:rFonts w:ascii="Arial" w:cs="Arial" w:eastAsia="Arial" w:hAnsi="Arial"/>
          <w:sz w:val="24"/>
          <w:szCs w:val="24"/>
        </w:rPr>
        <w:t xml:space="preserve"> - обязательство Кабинета Министров на определенную дату перед иностранным кредитором полностью или частично погасить задолженность в случае неисполнения или ненадлежащего исполнения заемщиком условий соглашения о государственной гарантии;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заемщик</w:t>
      </w:r>
      <w:r>
        <w:rPr>
          <w:rFonts w:ascii="Arial" w:cs="Arial" w:eastAsia="Arial" w:hAnsi="Arial"/>
          <w:sz w:val="24"/>
          <w:szCs w:val="24"/>
        </w:rPr>
        <w:t xml:space="preserve"> - это юридическое лицо - резидент Кыргызской Республики, осуществляющее внешнее заимствование под государственную гарантию;</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резидент</w:t>
      </w:r>
      <w:r>
        <w:rPr>
          <w:rFonts w:ascii="Arial" w:cs="Arial" w:eastAsia="Arial" w:hAnsi="Arial"/>
          <w:sz w:val="24"/>
          <w:szCs w:val="24"/>
        </w:rPr>
        <w:t xml:space="preserve"> - юридическое лицо, зарегистрированное в Кыргызской Республике, на которое в полной мере распространяется законодательство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уполномоченный государственный орган по прогнозированию и исполнению бюджета</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уполномоченный государственный орган по экономическому прогнозированию</w:t>
      </w:r>
      <w:r>
        <w:rPr>
          <w:rFonts w:ascii="Arial" w:cs="Arial" w:eastAsia="Arial" w:hAnsi="Arial"/>
          <w:sz w:val="24"/>
          <w:szCs w:val="24"/>
        </w:rPr>
        <w:t xml:space="preserve"> - центральный орган исполнительной власти, уполномоченный Кабинетом Министров на осуществление разработки и реализации единой государственной политики в области экономического развития и налоговой сфере;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государственный орган по продвижению инвестиций и координации инвестиционной деятельности</w:t>
      </w:r>
      <w:r>
        <w:rPr>
          <w:rFonts w:ascii="Arial" w:cs="Arial" w:eastAsia="Arial" w:hAnsi="Arial"/>
          <w:sz w:val="24"/>
          <w:szCs w:val="24"/>
        </w:rPr>
        <w:t xml:space="preserve"> - уполномоченный государственный орган, ответственный за разработку и реализацию единой государственной инвестиционной политики, политики в области государственно-частного партнерства, развития свободных и иных экономических зон, имеющих особый (специальный) режим осуществления экономической деятельности в соответствии с законодательством Кыргызской Республики, координацию привлечения иностранных инвестиций, продвижение экспорта, сотрудничество с международными финансовыми институтами и иностранными правительственными финансовыми организациями.</w:t>
      </w:r>
    </w:p>
    <w:p>
      <w:pPr>
        <w:spacing w:after="200" w:before="200"/>
        <w:jc w:val="center"/>
      </w:pPr>
      <w:r>
        <w:rPr>
          <w:rFonts w:ascii="Arial" w:cs="Arial" w:eastAsia="Arial" w:hAnsi="Arial"/>
          <w:b/>
          <w:bCs/>
          <w:sz w:val="24"/>
          <w:szCs w:val="24"/>
        </w:rPr>
        <w:t xml:space="preserve">Глава 3. Условия предоставления государственной гарантии</w:t>
      </w:r>
    </w:p>
    <w:p>
      <w:pPr>
        <w:spacing w:after="60"/>
        <w:ind w:firstLine="567"/>
        <w:jc w:val="both"/>
      </w:pPr>
      <w:r>
        <w:rPr>
          <w:rFonts w:ascii="Arial" w:cs="Arial" w:eastAsia="Arial" w:hAnsi="Arial"/>
          <w:sz w:val="24"/>
          <w:szCs w:val="24"/>
        </w:rPr>
        <w:t xml:space="preserve">5. Государственные гарантии на внешние заимствования предоставляются исключительно на инвестиционные проекты, сумма которых составляет не менее 1 миллиарда сомов (или эквивалент сумме в иностранной валюте по официальному курсу Национального банка Кыргызской Республики на день принятия решения Кабинета Министров о предоставлении государственной гарантии).</w:t>
      </w:r>
    </w:p>
    <w:p>
      <w:pPr>
        <w:spacing w:after="60"/>
        <w:ind w:firstLine="567"/>
        <w:jc w:val="both"/>
      </w:pPr>
      <w:r>
        <w:rPr>
          <w:rFonts w:ascii="Arial" w:cs="Arial" w:eastAsia="Arial" w:hAnsi="Arial"/>
          <w:sz w:val="24"/>
          <w:szCs w:val="24"/>
        </w:rPr>
        <w:t xml:space="preserve">6. Государственные гарантии не распространяются на внутренние заимствования, привлекаемые резидентами и нерезидентами Кыргызской Республики.</w:t>
      </w:r>
    </w:p>
    <w:p>
      <w:pPr>
        <w:spacing w:after="60"/>
        <w:ind w:firstLine="567"/>
        <w:jc w:val="both"/>
      </w:pPr>
      <w:r>
        <w:rPr>
          <w:rFonts w:ascii="Arial" w:cs="Arial" w:eastAsia="Arial" w:hAnsi="Arial"/>
          <w:sz w:val="24"/>
          <w:szCs w:val="24"/>
        </w:rPr>
        <w:t xml:space="preserve">7. Государственная гарантия предоставляется на срок действия договора, заключенного между иностранным кредитором и заемщиком.</w:t>
      </w:r>
    </w:p>
    <w:p>
      <w:pPr>
        <w:spacing w:after="60"/>
        <w:ind w:firstLine="567"/>
        <w:jc w:val="both"/>
      </w:pPr>
      <w:r>
        <w:rPr>
          <w:rFonts w:ascii="Arial" w:cs="Arial" w:eastAsia="Arial" w:hAnsi="Arial"/>
          <w:sz w:val="24"/>
          <w:szCs w:val="24"/>
        </w:rPr>
        <w:t xml:space="preserve">8. Государственной гарантией может быть обеспечена полная или частичная сумма внешнего заимствования. Государственная гарантия, предоставляемая на часть суммы внешнего заимствования, осуществляется с целью снижения риска и привлечения дополнительного финансирования или по иным основаниям, одобренным Советом Кабинета Министров по фискальной и инвестиционной политике Кыргызской Республики (далее - Совет Кабинета Министров).</w:t>
      </w:r>
    </w:p>
    <w:p>
      <w:pPr>
        <w:spacing w:after="60"/>
        <w:ind w:firstLine="567"/>
        <w:jc w:val="both"/>
      </w:pPr>
      <w:r>
        <w:rPr>
          <w:rFonts w:ascii="Arial" w:cs="Arial" w:eastAsia="Arial" w:hAnsi="Arial"/>
          <w:sz w:val="24"/>
          <w:szCs w:val="24"/>
        </w:rPr>
        <w:t xml:space="preserve">9. Государственные гарантии предоставляются в пределах лимита, устанавливаемого ежегодным законом о республиканском бюджете. Лимитом предоставления государственных гарантий является фиксированная сумма на соответствующий финансовый год, в пределах которой могут быть выданы государственные гарантии.</w:t>
      </w:r>
    </w:p>
    <w:p>
      <w:pPr>
        <w:spacing w:after="60"/>
        <w:ind w:firstLine="567"/>
        <w:jc w:val="both"/>
      </w:pPr>
      <w:r>
        <w:rPr>
          <w:rFonts w:ascii="Arial" w:cs="Arial" w:eastAsia="Arial" w:hAnsi="Arial"/>
          <w:sz w:val="24"/>
          <w:szCs w:val="24"/>
        </w:rPr>
        <w:t xml:space="preserve">10. Государственные гарантии предоставляются в рамках общего объема государственного долга Кыргызской Республики, предельный размер которого определяется в Стратегии управления государственным долгом Кыргызской Республики на соответствующие годы.</w:t>
      </w:r>
    </w:p>
    <w:p>
      <w:pPr>
        <w:spacing w:after="60"/>
        <w:ind w:firstLine="567"/>
        <w:jc w:val="both"/>
      </w:pPr>
      <w:r>
        <w:rPr>
          <w:rFonts w:ascii="Arial" w:cs="Arial" w:eastAsia="Arial" w:hAnsi="Arial"/>
          <w:sz w:val="24"/>
          <w:szCs w:val="24"/>
        </w:rPr>
        <w:t xml:space="preserve">11. Объем лимита предоставления государственных гарантий устанавливается в соответствии с условиями договоров займов в рамках предельного размера расходов республиканского бюджета на обслуживание государственного долга на соответствующие годы.</w:t>
      </w:r>
    </w:p>
    <w:p>
      <w:pPr>
        <w:spacing w:after="60"/>
        <w:ind w:firstLine="567"/>
        <w:jc w:val="both"/>
      </w:pPr>
      <w:r>
        <w:rPr>
          <w:rFonts w:ascii="Arial" w:cs="Arial" w:eastAsia="Arial" w:hAnsi="Arial"/>
          <w:sz w:val="24"/>
          <w:szCs w:val="24"/>
        </w:rPr>
        <w:t xml:space="preserve">12. Запрещается использование средств гарантированного государством займа на цели, не предусмотренные договором займа.</w:t>
      </w:r>
    </w:p>
    <w:p>
      <w:pPr>
        <w:spacing w:after="60"/>
        <w:ind w:firstLine="567"/>
        <w:jc w:val="both"/>
      </w:pPr>
      <w:r>
        <w:rPr>
          <w:rFonts w:ascii="Arial" w:cs="Arial" w:eastAsia="Arial" w:hAnsi="Arial"/>
          <w:sz w:val="24"/>
          <w:szCs w:val="24"/>
        </w:rPr>
        <w:t xml:space="preserve">13. Все расходы, связанные с получением государственных гарантий, возлагаются на заемщика.</w:t>
      </w:r>
    </w:p>
    <w:p>
      <w:pPr>
        <w:spacing w:after="60"/>
        <w:ind w:firstLine="567"/>
        <w:jc w:val="both"/>
      </w:pPr>
      <w:r>
        <w:rPr>
          <w:rFonts w:ascii="Arial" w:cs="Arial" w:eastAsia="Arial" w:hAnsi="Arial"/>
          <w:sz w:val="24"/>
          <w:szCs w:val="24"/>
        </w:rPr>
        <w:t xml:space="preserve">14. За предоставление государственной гарантии взимается единовременная комиссия. Комиссия за предоставление государственной гарантии может включать плату, основанную на кредитном риске, рассчитываемую исходя из кредитоспособности заемщика, с применением методики оценки кредитного риска:</w:t>
      </w:r>
    </w:p>
    <w:p>
      <w:pPr>
        <w:spacing w:after="60"/>
        <w:ind w:firstLine="567"/>
        <w:jc w:val="both"/>
      </w:pPr>
      <w:r>
        <w:rPr>
          <w:rFonts w:ascii="Arial" w:cs="Arial" w:eastAsia="Arial" w:hAnsi="Arial"/>
          <w:sz w:val="24"/>
          <w:szCs w:val="24"/>
        </w:rPr>
        <w:t xml:space="preserve">- низкий риск - 0,1% от суммы обязательств (хорошее);</w:t>
      </w:r>
    </w:p>
    <w:p>
      <w:pPr>
        <w:spacing w:after="60"/>
        <w:ind w:firstLine="567"/>
        <w:jc w:val="both"/>
      </w:pPr>
      <w:r>
        <w:rPr>
          <w:rFonts w:ascii="Arial" w:cs="Arial" w:eastAsia="Arial" w:hAnsi="Arial"/>
          <w:sz w:val="24"/>
          <w:szCs w:val="24"/>
        </w:rPr>
        <w:t xml:space="preserve">- умеренный риск - 0,3% от суммы обязательств (удовлетворительно).</w:t>
      </w:r>
    </w:p>
    <w:p>
      <w:pPr>
        <w:spacing w:after="60"/>
        <w:ind w:firstLine="567"/>
        <w:jc w:val="both"/>
      </w:pPr>
      <w:r>
        <w:rPr>
          <w:rFonts w:ascii="Arial" w:cs="Arial" w:eastAsia="Arial" w:hAnsi="Arial"/>
          <w:sz w:val="24"/>
          <w:szCs w:val="24"/>
        </w:rPr>
        <w:t xml:space="preserve">Освобождение от уплаты комиссии допускается в исключительных случаях по решению Кабинета Министров при условии, что проект входит в перечень национальных инвестиционных проектов. Средства, полученные в виде комиссии, подлежат зачислению в республиканский бюджет.</w:t>
      </w:r>
    </w:p>
    <w:p>
      <w:pPr>
        <w:spacing w:after="200" w:before="200"/>
        <w:jc w:val="center"/>
      </w:pPr>
      <w:r>
        <w:rPr>
          <w:rFonts w:ascii="Arial" w:cs="Arial" w:eastAsia="Arial" w:hAnsi="Arial"/>
          <w:b/>
          <w:bCs/>
          <w:sz w:val="24"/>
          <w:szCs w:val="24"/>
        </w:rPr>
        <w:t xml:space="preserve">Глава 4. Требования, предъявляемые к заемщику, претендующему на получение государственной гарантии</w:t>
      </w:r>
    </w:p>
    <w:p>
      <w:pPr>
        <w:spacing w:after="60"/>
        <w:ind w:firstLine="567"/>
        <w:jc w:val="both"/>
      </w:pPr>
      <w:r>
        <w:rPr>
          <w:rFonts w:ascii="Arial" w:cs="Arial" w:eastAsia="Arial" w:hAnsi="Arial"/>
          <w:sz w:val="24"/>
          <w:szCs w:val="24"/>
        </w:rPr>
        <w:t xml:space="preserve">15. К юридическим лицам, претендующим на получение государственной гарантии по займам, в которых эти юридические лица выступают в качестве заемщика, предъявляются следующие требования:</w:t>
      </w:r>
    </w:p>
    <w:p>
      <w:pPr>
        <w:spacing w:after="60"/>
        <w:ind w:firstLine="567"/>
        <w:jc w:val="both"/>
      </w:pPr>
      <w:r>
        <w:rPr>
          <w:rFonts w:ascii="Arial" w:cs="Arial" w:eastAsia="Arial" w:hAnsi="Arial"/>
          <w:sz w:val="24"/>
          <w:szCs w:val="24"/>
        </w:rPr>
        <w:t xml:space="preserve">1) быть резидентом Кыргызской Республики, осуществляющим предпринимательскую деятельность;</w:t>
      </w:r>
    </w:p>
    <w:p>
      <w:pPr>
        <w:spacing w:after="60"/>
        <w:ind w:firstLine="567"/>
        <w:jc w:val="both"/>
      </w:pPr>
      <w:r>
        <w:rPr>
          <w:rFonts w:ascii="Arial" w:cs="Arial" w:eastAsia="Arial" w:hAnsi="Arial"/>
          <w:sz w:val="24"/>
          <w:szCs w:val="24"/>
        </w:rPr>
        <w:t xml:space="preserve">2) быть одним из реализаторов проекта, предлагаемого к финансированию за счет средств внешнего заимствования под государственные гарантии;</w:t>
      </w:r>
    </w:p>
    <w:p>
      <w:pPr>
        <w:spacing w:after="60"/>
        <w:ind w:firstLine="567"/>
        <w:jc w:val="both"/>
      </w:pPr>
      <w:r>
        <w:rPr>
          <w:rFonts w:ascii="Arial" w:cs="Arial" w:eastAsia="Arial" w:hAnsi="Arial"/>
          <w:sz w:val="24"/>
          <w:szCs w:val="24"/>
        </w:rPr>
        <w:t xml:space="preserve">3) иметь положительный результат финансово-хозяйственной деятельности за последние 3 (три) года;</w:t>
      </w:r>
    </w:p>
    <w:p>
      <w:pPr>
        <w:spacing w:after="60"/>
        <w:ind w:firstLine="567"/>
        <w:jc w:val="both"/>
      </w:pPr>
      <w:r>
        <w:rPr>
          <w:rFonts w:ascii="Arial" w:cs="Arial" w:eastAsia="Arial" w:hAnsi="Arial"/>
          <w:sz w:val="24"/>
          <w:szCs w:val="24"/>
        </w:rPr>
        <w:t xml:space="preserve">4) не иметь просроченной задолженности по уплате налогов, социальных отчислений, сборов и иных платежей в бюджеты любых уровней;</w:t>
      </w:r>
    </w:p>
    <w:p>
      <w:pPr>
        <w:spacing w:after="60"/>
        <w:ind w:firstLine="567"/>
        <w:jc w:val="both"/>
      </w:pPr>
      <w:r>
        <w:rPr>
          <w:rFonts w:ascii="Arial" w:cs="Arial" w:eastAsia="Arial" w:hAnsi="Arial"/>
          <w:sz w:val="24"/>
          <w:szCs w:val="24"/>
        </w:rPr>
        <w:t xml:space="preserve">5) не иметь просроченной задолженности по погашению и обслуживанию ранее полученного под государственную гарантию внешнего заимствования, а также иной просроченной задолженности перед кредиторами;</w:t>
      </w:r>
    </w:p>
    <w:p>
      <w:pPr>
        <w:spacing w:after="60"/>
        <w:ind w:firstLine="567"/>
        <w:jc w:val="both"/>
      </w:pPr>
      <w:r>
        <w:rPr>
          <w:rFonts w:ascii="Arial" w:cs="Arial" w:eastAsia="Arial" w:hAnsi="Arial"/>
          <w:sz w:val="24"/>
          <w:szCs w:val="24"/>
        </w:rPr>
        <w:t xml:space="preserve">6) иметь собственный капитал в размере не менее 30 (тридцать) процентов от стоимости займа, по которым требуется государственная гарантия. При этом 30 (тридцать) процентов собственного вклада не должны быть заимствованными, за исключением заимствований под собственные гарантии, без участия государственных гарантий или поручительства, выданного в соответствии с законодательством Кыргызской Республики, регулирующим порядок предоставления поручительства субъектам национальной экономики;</w:t>
      </w:r>
    </w:p>
    <w:p>
      <w:pPr>
        <w:spacing w:after="60"/>
        <w:ind w:firstLine="567"/>
        <w:jc w:val="both"/>
      </w:pPr>
      <w:r>
        <w:rPr>
          <w:rFonts w:ascii="Arial" w:cs="Arial" w:eastAsia="Arial" w:hAnsi="Arial"/>
          <w:sz w:val="24"/>
          <w:szCs w:val="24"/>
        </w:rPr>
        <w:t xml:space="preserve">7) являться платежеспособным, не подлежать ликвидации, на его имущество не должен быть наложен арест, его финансово-хозяйственная деятельность не должна быть приостановлена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предоставить сведения, необходимые для подготовки экспертных заключений, предусмотренных подпунктом 4 пункта 19 настоящего Положения.</w:t>
      </w:r>
    </w:p>
    <w:p>
      <w:pPr>
        <w:spacing w:after="60"/>
        <w:ind w:firstLine="567"/>
        <w:jc w:val="both"/>
      </w:pPr>
      <w:r>
        <w:rPr>
          <w:rFonts w:ascii="Arial" w:cs="Arial" w:eastAsia="Arial" w:hAnsi="Arial"/>
          <w:sz w:val="24"/>
          <w:szCs w:val="24"/>
        </w:rPr>
        <w:t xml:space="preserve">16. Требования, указанные в подпунктах 3 и 6 пункта 15, а также в абзаце втором подпункта 4 пункта 19 настоящего Положения не применяются к субъектам, участвующим в реализации национальных проектов и проектов государственного значения, отбор которых осуществляется комиссией, созданной решением Кабинета Министров.</w:t>
      </w:r>
    </w:p>
    <w:p>
      <w:pPr>
        <w:spacing w:after="200" w:before="200"/>
        <w:jc w:val="center"/>
      </w:pPr>
      <w:r>
        <w:rPr>
          <w:rFonts w:ascii="Arial" w:cs="Arial" w:eastAsia="Arial" w:hAnsi="Arial"/>
          <w:b/>
          <w:bCs/>
          <w:sz w:val="24"/>
          <w:szCs w:val="24"/>
        </w:rPr>
        <w:t xml:space="preserve">Глава 5. Порядок предоставления государственной гарантии</w:t>
      </w:r>
    </w:p>
    <w:p>
      <w:pPr>
        <w:spacing w:after="60"/>
        <w:ind w:firstLine="567"/>
        <w:jc w:val="both"/>
      </w:pPr>
      <w:r>
        <w:rPr>
          <w:rFonts w:ascii="Arial" w:cs="Arial" w:eastAsia="Arial" w:hAnsi="Arial"/>
          <w:sz w:val="24"/>
          <w:szCs w:val="24"/>
        </w:rPr>
        <w:t xml:space="preserve">17. Государственные гарантии предоставляются для поддержки финансирования инвестиционных проектов, которые соответствуют приоритетам, определенным стратегическими и программными документами Кыргызской Республики.</w:t>
      </w:r>
    </w:p>
    <w:p>
      <w:pPr>
        <w:spacing w:after="60"/>
        <w:ind w:firstLine="567"/>
        <w:jc w:val="both"/>
      </w:pPr>
      <w:r>
        <w:rPr>
          <w:rFonts w:ascii="Arial" w:cs="Arial" w:eastAsia="Arial" w:hAnsi="Arial"/>
          <w:sz w:val="24"/>
          <w:szCs w:val="24"/>
        </w:rPr>
        <w:t xml:space="preserve">18. Решение о предоставлении государственной гарантии принимается Кабинетом Министров по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19. Заемщик, претендующий на получение государственной гарантии, представляет в уполномоченный государственный орган по прогнозированию и исполнению бюджета следующие документы:</w:t>
      </w:r>
    </w:p>
    <w:p>
      <w:pPr>
        <w:spacing w:after="60"/>
        <w:ind w:firstLine="567"/>
        <w:jc w:val="both"/>
      </w:pPr>
      <w:r>
        <w:rPr>
          <w:rFonts w:ascii="Arial" w:cs="Arial" w:eastAsia="Arial" w:hAnsi="Arial"/>
          <w:sz w:val="24"/>
          <w:szCs w:val="24"/>
        </w:rPr>
        <w:t xml:space="preserve">1) заявление о намерении получить государственную гарантию с указанием сведений о предполагаемом кредиторе (документы, подтверждающие деловую репутацию кредитора, наличие соответствующих лицензий и сертификатов международного уровня, а также иных документов, характеризующих его финансовую устойчивость и законность осуществления кредитной деятельности);</w:t>
      </w:r>
    </w:p>
    <w:p>
      <w:pPr>
        <w:spacing w:after="60"/>
        <w:ind w:firstLine="567"/>
        <w:jc w:val="both"/>
      </w:pPr>
      <w:r>
        <w:rPr>
          <w:rFonts w:ascii="Arial" w:cs="Arial" w:eastAsia="Arial" w:hAnsi="Arial"/>
          <w:sz w:val="24"/>
          <w:szCs w:val="24"/>
        </w:rPr>
        <w:t xml:space="preserve">2) копии свидетельства о государственной регистрации и учредительных документов юридического лица и копия договора с одним из государственных коммерческих банков на обслуживание счетов заемщика;</w:t>
      </w:r>
    </w:p>
    <w:p>
      <w:pPr>
        <w:spacing w:after="60"/>
        <w:ind w:firstLine="567"/>
        <w:jc w:val="both"/>
      </w:pPr>
      <w:r>
        <w:rPr>
          <w:rFonts w:ascii="Arial" w:cs="Arial" w:eastAsia="Arial" w:hAnsi="Arial"/>
          <w:sz w:val="24"/>
          <w:szCs w:val="24"/>
        </w:rPr>
        <w:t xml:space="preserve">3) кредитное соглашение или его проект, для которого запрашивается государственная гарантия;</w:t>
      </w:r>
    </w:p>
    <w:p>
      <w:pPr>
        <w:spacing w:after="60"/>
        <w:ind w:firstLine="567"/>
        <w:jc w:val="both"/>
      </w:pPr>
      <w:r>
        <w:rPr>
          <w:rFonts w:ascii="Arial" w:cs="Arial" w:eastAsia="Arial" w:hAnsi="Arial"/>
          <w:sz w:val="24"/>
          <w:szCs w:val="24"/>
        </w:rPr>
        <w:t xml:space="preserve">4) технико-экономическое обоснование проекта с положительными экспертными заключениями:</w:t>
      </w:r>
    </w:p>
    <w:p>
      <w:pPr>
        <w:spacing w:after="60"/>
        <w:ind w:firstLine="567"/>
        <w:jc w:val="both"/>
      </w:pPr>
      <w:r>
        <w:rPr>
          <w:rFonts w:ascii="Arial" w:cs="Arial" w:eastAsia="Arial" w:hAnsi="Arial"/>
          <w:sz w:val="24"/>
          <w:szCs w:val="24"/>
        </w:rPr>
        <w:t xml:space="preserve">- уполномоченного государственного органа по прогнозированию и исполнению бюджета о реализуемости проекта с финансовой оценкой параметров проекта и заключением о кредитном риске, платежеспособности и способности заемщика обслуживать долг, подготовленным в соответствии с Методикой определения платежеспособности заемщика, прилагаемой к настоящему Положению;</w:t>
      </w:r>
    </w:p>
    <w:p>
      <w:pPr>
        <w:spacing w:after="60"/>
        <w:ind w:firstLine="567"/>
        <w:jc w:val="both"/>
      </w:pPr>
      <w:r>
        <w:rPr>
          <w:rFonts w:ascii="Arial" w:cs="Arial" w:eastAsia="Arial" w:hAnsi="Arial"/>
          <w:sz w:val="24"/>
          <w:szCs w:val="24"/>
        </w:rPr>
        <w:t xml:space="preserve">- уполномоченного государственного органа по продвижению инвестиций и координации инвестиционной деятельности в Кыргызской Республике о реализуемости проекта с экономической оценкой параметров проекта и оценкой соответствия инвестиционным приоритетам Кыргызской Республики;</w:t>
      </w:r>
    </w:p>
    <w:p>
      <w:pPr>
        <w:spacing w:after="60"/>
        <w:ind w:firstLine="567"/>
        <w:jc w:val="both"/>
      </w:pPr>
      <w:r>
        <w:rPr>
          <w:rFonts w:ascii="Arial" w:cs="Arial" w:eastAsia="Arial" w:hAnsi="Arial"/>
          <w:sz w:val="24"/>
          <w:szCs w:val="24"/>
        </w:rPr>
        <w:t xml:space="preserve">- уполномоченного государственного органа по экономическому прогнозированию о соответствии проекта стратегическим приоритетам Кыргызской Республики, эффективности самого проекта, а также об обоснованности экономических расчетов по данному проекту с экономической оценкой параметров проекта;</w:t>
      </w:r>
    </w:p>
    <w:p>
      <w:pPr>
        <w:spacing w:after="60"/>
        <w:ind w:firstLine="567"/>
        <w:jc w:val="both"/>
      </w:pPr>
      <w:r>
        <w:rPr>
          <w:rFonts w:ascii="Arial" w:cs="Arial" w:eastAsia="Arial" w:hAnsi="Arial"/>
          <w:sz w:val="24"/>
          <w:szCs w:val="24"/>
        </w:rPr>
        <w:t xml:space="preserve">- отраслевого государственного органа о соответствии отраслевым приоритетам и целесообразности проекта;</w:t>
      </w:r>
    </w:p>
    <w:p>
      <w:pPr>
        <w:spacing w:after="60"/>
        <w:ind w:firstLine="567"/>
        <w:jc w:val="both"/>
      </w:pPr>
      <w:r>
        <w:rPr>
          <w:rFonts w:ascii="Arial" w:cs="Arial" w:eastAsia="Arial" w:hAnsi="Arial"/>
          <w:sz w:val="24"/>
          <w:szCs w:val="24"/>
        </w:rPr>
        <w:t xml:space="preserve">5) справка из налоговых органов по месту учета юридического лица об отсутствии задолженности по уплате налогов, сборов и иных платежей в бюджеты любых уровней;</w:t>
      </w:r>
    </w:p>
    <w:p>
      <w:pPr>
        <w:spacing w:after="60"/>
        <w:ind w:firstLine="567"/>
        <w:jc w:val="both"/>
      </w:pPr>
      <w:r>
        <w:rPr>
          <w:rFonts w:ascii="Arial" w:cs="Arial" w:eastAsia="Arial" w:hAnsi="Arial"/>
          <w:sz w:val="24"/>
          <w:szCs w:val="24"/>
        </w:rPr>
        <w:t xml:space="preserve">6) справка коммерческих банков, обслуживающих счета юридического лица, об оборотах по расчетному счету за последние шесть месяцев;</w:t>
      </w:r>
    </w:p>
    <w:p>
      <w:pPr>
        <w:spacing w:after="60"/>
        <w:ind w:firstLine="567"/>
        <w:jc w:val="both"/>
      </w:pPr>
      <w:r>
        <w:rPr>
          <w:rFonts w:ascii="Arial" w:cs="Arial" w:eastAsia="Arial" w:hAnsi="Arial"/>
          <w:sz w:val="24"/>
          <w:szCs w:val="24"/>
        </w:rPr>
        <w:t xml:space="preserve">7) финансовая отчетность за последние три года с заключением внешнего аудита. В случае если субъект осуществляет деятельность менее трех лет, предоставляется финансовая отчетность за весь период деятельности;</w:t>
      </w:r>
    </w:p>
    <w:p>
      <w:pPr>
        <w:spacing w:after="60"/>
        <w:ind w:firstLine="567"/>
        <w:jc w:val="both"/>
      </w:pPr>
      <w:r>
        <w:rPr>
          <w:rFonts w:ascii="Arial" w:cs="Arial" w:eastAsia="Arial" w:hAnsi="Arial"/>
          <w:sz w:val="24"/>
          <w:szCs w:val="24"/>
        </w:rPr>
        <w:t xml:space="preserve">8) справка об отсутствии/наличии задолженности перед финансово-кредитными организациями, подтвержденная соответствующим кредитным информационным бюро;</w:t>
      </w:r>
    </w:p>
    <w:p>
      <w:pPr>
        <w:spacing w:after="60"/>
        <w:ind w:firstLine="567"/>
        <w:jc w:val="both"/>
      </w:pPr>
      <w:r>
        <w:rPr>
          <w:rFonts w:ascii="Arial" w:cs="Arial" w:eastAsia="Arial" w:hAnsi="Arial"/>
          <w:sz w:val="24"/>
          <w:szCs w:val="24"/>
        </w:rPr>
        <w:t xml:space="preserve">9) копия паспорта руководителя и решение о его назначении на должность;</w:t>
      </w:r>
    </w:p>
    <w:p>
      <w:pPr>
        <w:spacing w:after="60"/>
        <w:ind w:firstLine="567"/>
        <w:jc w:val="both"/>
      </w:pPr>
      <w:r>
        <w:rPr>
          <w:rFonts w:ascii="Arial" w:cs="Arial" w:eastAsia="Arial" w:hAnsi="Arial"/>
          <w:sz w:val="24"/>
          <w:szCs w:val="24"/>
        </w:rPr>
        <w:t xml:space="preserve">10) решение уполномоченного органа юридического лица, определенного учредительными документами, о согласии на заключение договора о государственной гарантии и договора о залоге, если в обеспечение исполнения обязательств заемщика по договору о государственной гарантии предоставляется залог, с указанием лица, уполномоченного на подписание указанных договоров;</w:t>
      </w:r>
    </w:p>
    <w:p>
      <w:pPr>
        <w:spacing w:after="60"/>
        <w:ind w:firstLine="567"/>
        <w:jc w:val="both"/>
      </w:pPr>
      <w:r>
        <w:rPr>
          <w:rFonts w:ascii="Arial" w:cs="Arial" w:eastAsia="Arial" w:hAnsi="Arial"/>
          <w:sz w:val="24"/>
          <w:szCs w:val="24"/>
        </w:rPr>
        <w:t xml:space="preserve">11) копия паспорта лица, уполномоченного на подписание договора о государственной гарантии и договора о залоге.</w:t>
      </w:r>
    </w:p>
    <w:p>
      <w:pPr>
        <w:spacing w:after="60"/>
        <w:ind w:firstLine="567"/>
        <w:jc w:val="both"/>
      </w:pPr>
      <w:r>
        <w:rPr>
          <w:rFonts w:ascii="Arial" w:cs="Arial" w:eastAsia="Arial" w:hAnsi="Arial"/>
          <w:sz w:val="24"/>
          <w:szCs w:val="24"/>
        </w:rPr>
        <w:t xml:space="preserve">Документы, указанные в подпунктах 5, 9, 10 и 11 настоящего пункта могут быть получены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20. Экспертные заключения, указанные в подпункте 4 пункта 19 настоящего Положения, могут содержать рекомендации, подготовленные соответствующими государственными органами, о включении в договор о государственной гарантии параметров мониторинга, включая показатели и критерии для проведения внеплановой оценки, а также предложения по частоте и формату отчетности. Такие рекомендации могут быть учтены при формировании условий договора о государственной гарантии и служат основой для регулярной оценки платежеспособности заемщика в рамках мониторинга, предусмотренного </w:t>
      </w:r>
      <w:r>
        <w:rPr>
          <w:rFonts w:ascii="Arial" w:cs="Arial" w:eastAsia="Arial" w:hAnsi="Arial"/>
          <w:sz w:val="24"/>
          <w:szCs w:val="24"/>
        </w:rPr>
        <w:t xml:space="preserve">главой 9</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sz w:val="24"/>
          <w:szCs w:val="24"/>
        </w:rPr>
        <w:t xml:space="preserve">21. Уполномоченный государственный орган по прогнозированию и исполнению бюджета выносит заявку на рассмотрение заседания Совета Кабинета Министров.</w:t>
      </w:r>
    </w:p>
    <w:p>
      <w:pPr>
        <w:spacing w:after="60"/>
        <w:ind w:firstLine="567"/>
        <w:jc w:val="both"/>
      </w:pPr>
      <w:r>
        <w:rPr>
          <w:rFonts w:ascii="Arial" w:cs="Arial" w:eastAsia="Arial" w:hAnsi="Arial"/>
          <w:sz w:val="24"/>
          <w:szCs w:val="24"/>
        </w:rPr>
        <w:t xml:space="preserve">22. Совет Кабинета Министров принимает решение о предоставлении государственной гарантии на внешнее заимствование либо об отказе в предоставлении государственной гарантии.</w:t>
      </w:r>
    </w:p>
    <w:p>
      <w:pPr>
        <w:spacing w:after="60"/>
        <w:ind w:firstLine="567"/>
        <w:jc w:val="both"/>
      </w:pPr>
      <w:r>
        <w:rPr>
          <w:rFonts w:ascii="Arial" w:cs="Arial" w:eastAsia="Arial" w:hAnsi="Arial"/>
          <w:sz w:val="24"/>
          <w:szCs w:val="24"/>
        </w:rPr>
        <w:t xml:space="preserve">23. В случае принятия решения Советом Кабинета Министров о предоставлении государственной гарантии, уполномоченный государственный орган по прогнозированию и исполнению бюджета инициирует проект решения Кабинета Министров о предоставлении государственной гарантии.</w:t>
      </w:r>
    </w:p>
    <w:p>
      <w:pPr>
        <w:spacing w:after="60"/>
        <w:ind w:firstLine="567"/>
        <w:jc w:val="both"/>
      </w:pPr>
      <w:r>
        <w:rPr>
          <w:rFonts w:ascii="Arial" w:cs="Arial" w:eastAsia="Arial" w:hAnsi="Arial"/>
          <w:sz w:val="24"/>
          <w:szCs w:val="24"/>
        </w:rPr>
        <w:t xml:space="preserve">24. Решение Кабинета Министров направляется на согласование в Жогорку Кенеш Кыргызской Республики.</w:t>
      </w:r>
    </w:p>
    <w:p>
      <w:pPr>
        <w:spacing w:after="60"/>
        <w:ind w:firstLine="567"/>
        <w:jc w:val="both"/>
      </w:pPr>
      <w:r>
        <w:rPr>
          <w:rFonts w:ascii="Arial" w:cs="Arial" w:eastAsia="Arial" w:hAnsi="Arial"/>
          <w:sz w:val="24"/>
          <w:szCs w:val="24"/>
        </w:rPr>
        <w:t xml:space="preserve">25. После согласования решения Кабинета Министров с Жогорку Кенешем Кыргызской Республики уполномоченный государственный орган по прогнозированию и исполнению бюджета заключает договор о государственной гарантии по внешнему заимствованию с получателем государственной гарантии и заемщиком.</w:t>
      </w:r>
    </w:p>
    <w:p>
      <w:pPr>
        <w:spacing w:after="60"/>
        <w:ind w:firstLine="567"/>
        <w:jc w:val="both"/>
      </w:pPr>
      <w:r>
        <w:rPr>
          <w:rFonts w:ascii="Arial" w:cs="Arial" w:eastAsia="Arial" w:hAnsi="Arial"/>
          <w:sz w:val="24"/>
          <w:szCs w:val="24"/>
        </w:rPr>
        <w:t xml:space="preserve">26. В договоре о государственной гарантии устанавливаются правоотношения сторон по предоставлению государственной гарантии, обеспечению выполнения обязательств согласно договору займа, гарантированного государством, возврату средств республиканского бюджета, отвлеченных в случае исполнения обязательств по государственной гарантии.</w:t>
      </w:r>
    </w:p>
    <w:p>
      <w:pPr>
        <w:spacing w:after="200" w:before="200"/>
        <w:jc w:val="center"/>
      </w:pPr>
      <w:r>
        <w:rPr>
          <w:rFonts w:ascii="Arial" w:cs="Arial" w:eastAsia="Arial" w:hAnsi="Arial"/>
          <w:b/>
          <w:bCs/>
          <w:sz w:val="24"/>
          <w:szCs w:val="24"/>
        </w:rPr>
        <w:t xml:space="preserve">Глава 6. Форма и содержание государственной гарантии</w:t>
      </w:r>
    </w:p>
    <w:p>
      <w:pPr>
        <w:spacing w:after="60"/>
        <w:ind w:firstLine="567"/>
        <w:jc w:val="both"/>
      </w:pPr>
      <w:r>
        <w:rPr>
          <w:rFonts w:ascii="Arial" w:cs="Arial" w:eastAsia="Arial" w:hAnsi="Arial"/>
          <w:sz w:val="24"/>
          <w:szCs w:val="24"/>
        </w:rPr>
        <w:t xml:space="preserve">27. Государственная гарантия предоставляется посредством заключения в письменной форме договора о государственной гарантии между уполномоченным государственным органом по прогнозированию и исполнению бюджета, кредитором и заемщиком.</w:t>
      </w:r>
    </w:p>
    <w:p>
      <w:pPr>
        <w:spacing w:after="60"/>
        <w:ind w:firstLine="567"/>
        <w:jc w:val="both"/>
      </w:pPr>
      <w:r>
        <w:rPr>
          <w:rFonts w:ascii="Arial" w:cs="Arial" w:eastAsia="Arial" w:hAnsi="Arial"/>
          <w:sz w:val="24"/>
          <w:szCs w:val="24"/>
        </w:rPr>
        <w:t xml:space="preserve">28. В договоре о государственной гарантии указываются:</w:t>
      </w:r>
    </w:p>
    <w:p>
      <w:pPr>
        <w:spacing w:after="60"/>
        <w:ind w:firstLine="567"/>
        <w:jc w:val="both"/>
      </w:pPr>
      <w:r>
        <w:rPr>
          <w:rFonts w:ascii="Arial" w:cs="Arial" w:eastAsia="Arial" w:hAnsi="Arial"/>
          <w:sz w:val="24"/>
          <w:szCs w:val="24"/>
        </w:rPr>
        <w:t xml:space="preserve">1) решение Кабинета Министров, которым одобрялся выпуск государственной гарантии;</w:t>
      </w:r>
    </w:p>
    <w:p>
      <w:pPr>
        <w:spacing w:after="60"/>
        <w:ind w:firstLine="567"/>
        <w:jc w:val="both"/>
      </w:pPr>
      <w:r>
        <w:rPr>
          <w:rFonts w:ascii="Arial" w:cs="Arial" w:eastAsia="Arial" w:hAnsi="Arial"/>
          <w:sz w:val="24"/>
          <w:szCs w:val="24"/>
        </w:rPr>
        <w:t xml:space="preserve">2) сведения о заемщике, включающие его полное наименование и местонахождение;</w:t>
      </w:r>
    </w:p>
    <w:p>
      <w:pPr>
        <w:spacing w:after="60"/>
        <w:ind w:firstLine="567"/>
        <w:jc w:val="both"/>
      </w:pPr>
      <w:r>
        <w:rPr>
          <w:rFonts w:ascii="Arial" w:cs="Arial" w:eastAsia="Arial" w:hAnsi="Arial"/>
          <w:sz w:val="24"/>
          <w:szCs w:val="24"/>
        </w:rPr>
        <w:t xml:space="preserve">3) сведения о кредиторе заемщика, включающие его полное наименование и местонахождение;</w:t>
      </w:r>
    </w:p>
    <w:p>
      <w:pPr>
        <w:spacing w:after="60"/>
        <w:ind w:firstLine="567"/>
        <w:jc w:val="both"/>
      </w:pPr>
      <w:r>
        <w:rPr>
          <w:rFonts w:ascii="Arial" w:cs="Arial" w:eastAsia="Arial" w:hAnsi="Arial"/>
          <w:sz w:val="24"/>
          <w:szCs w:val="24"/>
        </w:rPr>
        <w:t xml:space="preserve">4) содержание основного обязательства заемщика;</w:t>
      </w:r>
    </w:p>
    <w:p>
      <w:pPr>
        <w:spacing w:after="60"/>
        <w:ind w:firstLine="567"/>
        <w:jc w:val="both"/>
      </w:pPr>
      <w:r>
        <w:rPr>
          <w:rFonts w:ascii="Arial" w:cs="Arial" w:eastAsia="Arial" w:hAnsi="Arial"/>
          <w:sz w:val="24"/>
          <w:szCs w:val="24"/>
        </w:rPr>
        <w:t xml:space="preserve">5) гарантируемая сумма займа, прочие гарантируемые обязательства по займу, на которые распространяется действие выдаваемой государственной гарантии;</w:t>
      </w:r>
    </w:p>
    <w:p>
      <w:pPr>
        <w:spacing w:after="60"/>
        <w:ind w:firstLine="567"/>
        <w:jc w:val="both"/>
      </w:pPr>
      <w:r>
        <w:rPr>
          <w:rFonts w:ascii="Arial" w:cs="Arial" w:eastAsia="Arial" w:hAnsi="Arial"/>
          <w:sz w:val="24"/>
          <w:szCs w:val="24"/>
        </w:rPr>
        <w:t xml:space="preserve">6) срок действия государственной гарантии;</w:t>
      </w:r>
    </w:p>
    <w:p>
      <w:pPr>
        <w:spacing w:after="60"/>
        <w:ind w:firstLine="567"/>
        <w:jc w:val="both"/>
      </w:pPr>
      <w:r>
        <w:rPr>
          <w:rFonts w:ascii="Arial" w:cs="Arial" w:eastAsia="Arial" w:hAnsi="Arial"/>
          <w:sz w:val="24"/>
          <w:szCs w:val="24"/>
        </w:rPr>
        <w:t xml:space="preserve">7) должностное лицо, подписавшее договор о государственной гарантии.</w:t>
      </w:r>
    </w:p>
    <w:p>
      <w:pPr>
        <w:spacing w:after="60"/>
        <w:ind w:firstLine="567"/>
        <w:jc w:val="both"/>
      </w:pPr>
      <w:r>
        <w:rPr>
          <w:rFonts w:ascii="Arial" w:cs="Arial" w:eastAsia="Arial" w:hAnsi="Arial"/>
          <w:sz w:val="24"/>
          <w:szCs w:val="24"/>
        </w:rPr>
        <w:t xml:space="preserve">29. Договор о государственной гарантии оформляется в трех экземплярах для каждой из сторон.</w:t>
      </w:r>
    </w:p>
    <w:p>
      <w:pPr>
        <w:spacing w:after="60"/>
        <w:ind w:firstLine="567"/>
        <w:jc w:val="both"/>
      </w:pPr>
      <w:r>
        <w:rPr>
          <w:rFonts w:ascii="Arial" w:cs="Arial" w:eastAsia="Arial" w:hAnsi="Arial"/>
          <w:sz w:val="24"/>
          <w:szCs w:val="24"/>
        </w:rPr>
        <w:t xml:space="preserve">30. Государственной гарантией может быть признан только такой документ, который соответствует требованиям настоящей главы. Другие акты или документы государственных органов и их должностных лиц не имеют юридической силы государственной гарантии.</w:t>
      </w:r>
    </w:p>
    <w:p>
      <w:pPr>
        <w:spacing w:after="200" w:before="200"/>
        <w:jc w:val="center"/>
      </w:pPr>
      <w:r>
        <w:rPr>
          <w:rFonts w:ascii="Arial" w:cs="Arial" w:eastAsia="Arial" w:hAnsi="Arial"/>
          <w:b/>
          <w:bCs/>
          <w:sz w:val="24"/>
          <w:szCs w:val="24"/>
        </w:rPr>
        <w:t xml:space="preserve">Глава 7. Учет, резервирование и отражение фискальных рисков по государственным гарантиям</w:t>
      </w:r>
    </w:p>
    <w:p>
      <w:pPr>
        <w:spacing w:after="60"/>
        <w:ind w:firstLine="567"/>
        <w:jc w:val="both"/>
      </w:pPr>
      <w:r>
        <w:rPr>
          <w:rFonts w:ascii="Arial" w:cs="Arial" w:eastAsia="Arial" w:hAnsi="Arial"/>
          <w:sz w:val="24"/>
          <w:szCs w:val="24"/>
        </w:rPr>
        <w:t xml:space="preserve">31. Договор о государственной гарантии в обязательном порядке подлежит регистрации.</w:t>
      </w:r>
    </w:p>
    <w:p>
      <w:pPr>
        <w:spacing w:after="60"/>
        <w:ind w:firstLine="567"/>
        <w:jc w:val="both"/>
      </w:pPr>
      <w:r>
        <w:rPr>
          <w:rFonts w:ascii="Arial" w:cs="Arial" w:eastAsia="Arial" w:hAnsi="Arial"/>
          <w:sz w:val="24"/>
          <w:szCs w:val="24"/>
        </w:rPr>
        <w:t xml:space="preserve">32. Регистрация договоров о государственной гарантии осуществляется уполномоченным государственным органом по прогнозированию и исполнению бюджета в учетной книге государственного долга и государственных гарантий как условные обязательства на забалансовых счетах государственного бюджета.</w:t>
      </w:r>
    </w:p>
    <w:p>
      <w:pPr>
        <w:spacing w:after="60"/>
        <w:ind w:firstLine="567"/>
        <w:jc w:val="both"/>
      </w:pPr>
      <w:r>
        <w:rPr>
          <w:rFonts w:ascii="Arial" w:cs="Arial" w:eastAsia="Arial" w:hAnsi="Arial"/>
          <w:sz w:val="24"/>
          <w:szCs w:val="24"/>
        </w:rPr>
        <w:t xml:space="preserve">33. В случае предъявления кредитором требования об исполнении обязательства по государственной гарантии (гарантийного требования) и признания решением Кабинета Министров наступления гарантийного случая в установленном порядке сумма государственной гарантии подлежит отражению в общем объеме государственного долга Кыргызской Республики.</w:t>
      </w:r>
    </w:p>
    <w:p>
      <w:pPr>
        <w:spacing w:after="60"/>
        <w:ind w:firstLine="567"/>
        <w:jc w:val="both"/>
      </w:pPr>
      <w:r>
        <w:rPr>
          <w:rFonts w:ascii="Arial" w:cs="Arial" w:eastAsia="Arial" w:hAnsi="Arial"/>
          <w:sz w:val="24"/>
          <w:szCs w:val="24"/>
        </w:rPr>
        <w:t xml:space="preserve">34. По каждой зарегистрированной государственной гарантии уполномоченный государственный орган по прогнозированию и исполнению бюджета проводит оценку ожидаемых потерь исходя из уровня кредитного риска и формирует соответствующий резерв в рамках республиканского бюджета с выделением отдельной бюджетной статьи.</w:t>
      </w:r>
    </w:p>
    <w:p>
      <w:pPr>
        <w:spacing w:after="60"/>
        <w:ind w:firstLine="567"/>
        <w:jc w:val="both"/>
      </w:pPr>
      <w:r>
        <w:rPr>
          <w:rFonts w:ascii="Arial" w:cs="Arial" w:eastAsia="Arial" w:hAnsi="Arial"/>
          <w:sz w:val="24"/>
          <w:szCs w:val="24"/>
        </w:rPr>
        <w:t xml:space="preserve">Резерв формируется на уровне рассчитанных потерь по портфелю государственных гарантий на основе утвержденной уполномоченным государственным органом по прогнозированию и исполнению бюджета методики оценки ожидаемых потерь.</w:t>
      </w:r>
    </w:p>
    <w:p>
      <w:pPr>
        <w:spacing w:after="60"/>
        <w:ind w:firstLine="567"/>
        <w:jc w:val="both"/>
      </w:pPr>
      <w:r>
        <w:rPr>
          <w:rFonts w:ascii="Arial" w:cs="Arial" w:eastAsia="Arial" w:hAnsi="Arial"/>
          <w:sz w:val="24"/>
          <w:szCs w:val="24"/>
        </w:rPr>
        <w:t xml:space="preserve">35. Информация о зарегистрированных государственных гарантиях, оценке ожидаемых потерь и сформированных резервах подлежит раскрытию в заявлении или информации о фискальных рисках, отчетах по государственному долгу на официальном сайте уполномоченного государственного органа по прогнозированию и исполнению бюджета, а также в иных официальных бюджетных документах Кыргызской Республики.</w:t>
      </w:r>
    </w:p>
    <w:p>
      <w:pPr>
        <w:spacing w:after="200" w:before="200"/>
        <w:jc w:val="center"/>
      </w:pPr>
      <w:r>
        <w:rPr>
          <w:rFonts w:ascii="Arial" w:cs="Arial" w:eastAsia="Arial" w:hAnsi="Arial"/>
          <w:b/>
          <w:bCs/>
          <w:sz w:val="24"/>
          <w:szCs w:val="24"/>
        </w:rPr>
        <w:t xml:space="preserve">Глава 8. Залоговое обеспечение</w:t>
      </w:r>
    </w:p>
    <w:p>
      <w:pPr>
        <w:spacing w:after="60"/>
        <w:ind w:firstLine="567"/>
        <w:jc w:val="both"/>
      </w:pPr>
      <w:r>
        <w:rPr>
          <w:rFonts w:ascii="Arial" w:cs="Arial" w:eastAsia="Arial" w:hAnsi="Arial"/>
          <w:sz w:val="24"/>
          <w:szCs w:val="24"/>
        </w:rPr>
        <w:t xml:space="preserve">36. Уполномоченный государственный орган по прогнозированию и исполнению бюджета вправе затребовать обеспечение исполнения обязательств по гарантии в форме залога либо иных форм обеспечения, предусмотренных Гражданским </w:t>
      </w:r>
      <w:hyperlink w:history="1" r:id="rIdbkb-cflnj5ftdaei9x4a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egvrfaexbwimih9sz6_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залоге".</w:t>
      </w:r>
    </w:p>
    <w:p>
      <w:pPr>
        <w:spacing w:after="60"/>
        <w:ind w:firstLine="567"/>
        <w:jc w:val="both"/>
      </w:pPr>
      <w:r>
        <w:rPr>
          <w:rFonts w:ascii="Arial" w:cs="Arial" w:eastAsia="Arial" w:hAnsi="Arial"/>
          <w:sz w:val="24"/>
          <w:szCs w:val="24"/>
        </w:rPr>
        <w:t xml:space="preserve">37. В случае предоставления заемщиком залога уполномоченному государственному органу по прогнозированию и исполнению бюджета размер комиссии за предоставление государственной гарантии может быть снижен до 0,1%. Конкретные условия предоставления залога, включая допустимые виды активов, требования к их ликвидности и периодичность переоценки, определяются уполномоченным государственным органом по прогнозированию и исполнению бюджета.</w:t>
      </w:r>
    </w:p>
    <w:p>
      <w:pPr>
        <w:spacing w:after="60"/>
        <w:ind w:firstLine="567"/>
        <w:jc w:val="both"/>
      </w:pPr>
      <w:r>
        <w:rPr>
          <w:rFonts w:ascii="Arial" w:cs="Arial" w:eastAsia="Arial" w:hAnsi="Arial"/>
          <w:sz w:val="24"/>
          <w:szCs w:val="24"/>
        </w:rPr>
        <w:t xml:space="preserve">38. В случае предоставления заемщиком залога кредитору, предоставляется государственная гарантия на величину кредита, непокрытого залогом. В этом случае величина государственной гарантии определяется уполномоченным государственным органом по прогнозированию и исполнению бюджета.</w:t>
      </w:r>
    </w:p>
    <w:p>
      <w:pPr>
        <w:spacing w:after="200" w:before="200"/>
        <w:jc w:val="center"/>
      </w:pPr>
      <w:r>
        <w:rPr>
          <w:rFonts w:ascii="Arial" w:cs="Arial" w:eastAsia="Arial" w:hAnsi="Arial"/>
          <w:b/>
          <w:bCs/>
          <w:sz w:val="24"/>
          <w:szCs w:val="24"/>
        </w:rPr>
        <w:t xml:space="preserve">Глава 9. Мониторинг деятельности заемщика</w:t>
      </w:r>
    </w:p>
    <w:p>
      <w:pPr>
        <w:spacing w:after="60"/>
        <w:ind w:firstLine="567"/>
        <w:jc w:val="both"/>
      </w:pPr>
      <w:r>
        <w:rPr>
          <w:rFonts w:ascii="Arial" w:cs="Arial" w:eastAsia="Arial" w:hAnsi="Arial"/>
          <w:sz w:val="24"/>
          <w:szCs w:val="24"/>
        </w:rPr>
        <w:t xml:space="preserve">39. Уполномоченный государственный орган по прогнозированию и исполнению бюджета, уполномоченный государственный орган по продвижению инвестиций и координации инвестиционной деятельности в Кыргызской Республике, а также отраслевой государственный орган вправе проводить мониторинг финансово-хозяйственной деятельности заемщика в рамках заключенного договора о государственной гарантии, как минимум, ежегодную регулярную оценку кредитного риска и платежеспособности заемщика в соответствии с методикой, утвержденной согласно приложению к настоящему Положению, при необходимости с привлечением независимых экспертов и специалистов, имеющих опыт профессиональной деятельности в соответствующей области.</w:t>
      </w:r>
    </w:p>
    <w:p>
      <w:pPr>
        <w:spacing w:after="60"/>
        <w:ind w:firstLine="567"/>
        <w:jc w:val="both"/>
      </w:pPr>
      <w:r>
        <w:rPr>
          <w:rFonts w:ascii="Arial" w:cs="Arial" w:eastAsia="Arial" w:hAnsi="Arial"/>
          <w:sz w:val="24"/>
          <w:szCs w:val="24"/>
        </w:rPr>
        <w:t xml:space="preserve">40. Заемщик обязан по первому требованию государственных органов, указанных в пункте 39 настоящего Положения, предоставить всю запрашиваемую информацию, необходимую для качественного и объективного анализа его деятельности.</w:t>
      </w:r>
    </w:p>
    <w:p>
      <w:pPr>
        <w:spacing w:after="60"/>
        <w:ind w:firstLine="567"/>
        <w:jc w:val="both"/>
      </w:pPr>
      <w:r>
        <w:rPr>
          <w:rFonts w:ascii="Arial" w:cs="Arial" w:eastAsia="Arial" w:hAnsi="Arial"/>
          <w:sz w:val="24"/>
          <w:szCs w:val="24"/>
        </w:rPr>
        <w:t xml:space="preserve">41. Заемщик отчитывается уполномоченному государственному органу по прогнозированию и исполнению бюджета, а также уполномоченному государственному органу по экономическому прогнозированию о результатах финансово-хозяйственной деятельности и исполнении обязательств по займу на регулярной основе (не реже одного раза в год) в соответствии с условиями договора о государственной гарантии.</w:t>
      </w:r>
    </w:p>
    <w:p>
      <w:pPr>
        <w:spacing w:after="60"/>
        <w:ind w:firstLine="567"/>
        <w:jc w:val="both"/>
      </w:pPr>
      <w:r>
        <w:rPr>
          <w:rFonts w:ascii="Arial" w:cs="Arial" w:eastAsia="Arial" w:hAnsi="Arial"/>
          <w:sz w:val="24"/>
          <w:szCs w:val="24"/>
        </w:rPr>
        <w:t xml:space="preserve">42. Мониторинг осуществляется не реже одного раза в год, если иное не предусмотрено договором о государственной гарантии.</w:t>
      </w:r>
    </w:p>
    <w:p>
      <w:pPr>
        <w:spacing w:after="60"/>
        <w:ind w:firstLine="567"/>
        <w:jc w:val="both"/>
      </w:pPr>
      <w:r>
        <w:rPr>
          <w:rFonts w:ascii="Arial" w:cs="Arial" w:eastAsia="Arial" w:hAnsi="Arial"/>
          <w:sz w:val="24"/>
          <w:szCs w:val="24"/>
        </w:rPr>
        <w:t xml:space="preserve">43. Целью мониторинга является соблюдение условий договора о государственной гарантии, целевое использование средств и обеспечение возврата обязательств.</w:t>
      </w:r>
    </w:p>
    <w:p>
      <w:pPr>
        <w:spacing w:after="60"/>
        <w:ind w:firstLine="567"/>
        <w:jc w:val="both"/>
      </w:pPr>
      <w:r>
        <w:rPr>
          <w:rFonts w:ascii="Arial" w:cs="Arial" w:eastAsia="Arial" w:hAnsi="Arial"/>
          <w:sz w:val="24"/>
          <w:szCs w:val="24"/>
        </w:rPr>
        <w:t xml:space="preserve">44. Мониторинг включает отслеживание своевременного исполнения обязательств, анализ финансового состояния заемщика, проверку отчетов и первичных документов, выявление проблемных заемщиков и разработку мер по разрешению проблемных заемщиков.</w:t>
      </w:r>
    </w:p>
    <w:p>
      <w:pPr>
        <w:spacing w:after="60"/>
        <w:ind w:firstLine="567"/>
        <w:jc w:val="both"/>
      </w:pPr>
      <w:r>
        <w:rPr>
          <w:rFonts w:ascii="Arial" w:cs="Arial" w:eastAsia="Arial" w:hAnsi="Arial"/>
          <w:sz w:val="24"/>
          <w:szCs w:val="24"/>
        </w:rPr>
        <w:t xml:space="preserve">45. Уполномоченный государственный орган по прогнозированию и исполнению бюджета вправе запрашивать информацию о заемщике от банков, государственных органов, кредитных бюро и контрагентов при наличии согласия заемщика.</w:t>
      </w:r>
    </w:p>
    <w:p>
      <w:pPr>
        <w:spacing w:after="60"/>
        <w:ind w:firstLine="567"/>
        <w:jc w:val="both"/>
      </w:pPr>
      <w:r>
        <w:rPr>
          <w:rFonts w:ascii="Arial" w:cs="Arial" w:eastAsia="Arial" w:hAnsi="Arial"/>
          <w:sz w:val="24"/>
          <w:szCs w:val="24"/>
        </w:rPr>
        <w:t xml:space="preserve">46. В случае выявления проблемных заемщиков уполномоченный государственный орган по прогнозированию и исполнению бюджета разрабатывает меры по разрешению ситуации в зависимости от типа проблемного заемщика, характера ситуации и вида проблемных кредитов, обеспеченных государственной гарантией.</w:t>
      </w:r>
    </w:p>
    <w:p>
      <w:pPr>
        <w:spacing w:after="200" w:before="200"/>
        <w:jc w:val="center"/>
      </w:pPr>
      <w:r>
        <w:rPr>
          <w:rFonts w:ascii="Arial" w:cs="Arial" w:eastAsia="Arial" w:hAnsi="Arial"/>
          <w:b/>
          <w:bCs/>
          <w:sz w:val="24"/>
          <w:szCs w:val="24"/>
        </w:rPr>
        <w:t xml:space="preserve">Глава 10. Исполнение государственной гарантии</w:t>
      </w:r>
    </w:p>
    <w:p>
      <w:pPr>
        <w:spacing w:after="60"/>
        <w:ind w:firstLine="567"/>
        <w:jc w:val="both"/>
      </w:pPr>
      <w:r>
        <w:rPr>
          <w:rFonts w:ascii="Arial" w:cs="Arial" w:eastAsia="Arial" w:hAnsi="Arial"/>
          <w:sz w:val="24"/>
          <w:szCs w:val="24"/>
        </w:rPr>
        <w:t xml:space="preserve">47. Средства, выделенные на исполнение обязательств по государственной гарантии, подлежат возврату в республиканский бюджет в течение срока и на условиях, определенных в договоре о государственной гарантии.</w:t>
      </w:r>
    </w:p>
    <w:p>
      <w:pPr>
        <w:spacing w:after="60"/>
        <w:ind w:firstLine="567"/>
        <w:jc w:val="both"/>
      </w:pPr>
      <w:r>
        <w:rPr>
          <w:rFonts w:ascii="Arial" w:cs="Arial" w:eastAsia="Arial" w:hAnsi="Arial"/>
          <w:sz w:val="24"/>
          <w:szCs w:val="24"/>
        </w:rPr>
        <w:t xml:space="preserve">48. В случае неисполнения обязательств заемщиком государственная гарантия подлежит исполнению в приоритетном порядке в рамках созданного резерва по погашению гарантийных обязательств в случае признания гарантированного требования по установленной в настоящем Положении процедуре. В случае недостатка средств на резерве Кабинет Министров принимает решение о полном погашении гарантийного обязательства в установленном порядке.</w:t>
      </w:r>
    </w:p>
    <w:p>
      <w:pPr>
        <w:spacing w:after="60"/>
        <w:ind w:firstLine="567"/>
        <w:jc w:val="both"/>
      </w:pPr>
      <w:r>
        <w:rPr>
          <w:rFonts w:ascii="Arial" w:cs="Arial" w:eastAsia="Arial" w:hAnsi="Arial"/>
          <w:sz w:val="24"/>
          <w:szCs w:val="24"/>
        </w:rPr>
        <w:t xml:space="preserve">49. Уполномоченный государственный орган по прогнозированию и исполнению бюджета в порядке регресса взыскивает с заемщика суммы, выплаченные по государственной гарантии, в рамках исполнения обязательств по займу в случае нарушения им условий договора о государственной гарантии.</w:t>
      </w:r>
    </w:p>
    <w:p>
      <w:pPr>
        <w:spacing w:after="200" w:before="200"/>
        <w:jc w:val="center"/>
      </w:pPr>
      <w:r>
        <w:rPr>
          <w:rFonts w:ascii="Arial" w:cs="Arial" w:eastAsia="Arial" w:hAnsi="Arial"/>
          <w:b/>
          <w:bCs/>
          <w:sz w:val="24"/>
          <w:szCs w:val="24"/>
        </w:rPr>
        <w:t xml:space="preserve">Глава 11. Реструктуризация гарантированных государством займов</w:t>
      </w:r>
    </w:p>
    <w:p>
      <w:pPr>
        <w:spacing w:after="60"/>
        <w:ind w:firstLine="567"/>
        <w:jc w:val="both"/>
      </w:pPr>
      <w:r>
        <w:rPr>
          <w:rFonts w:ascii="Arial" w:cs="Arial" w:eastAsia="Arial" w:hAnsi="Arial"/>
          <w:sz w:val="24"/>
          <w:szCs w:val="24"/>
        </w:rPr>
        <w:t xml:space="preserve">50. Инициирование реструктуризации гарантированного государством займа осуществляется на основании официального совместного обращения заемщика и кредитора, сопровождаемого документами, подтверждающими необходимость реструктуризации, включая уведомление о финансовых затруднениях, просрочку платежа или изменение условий займа.</w:t>
      </w:r>
    </w:p>
    <w:p>
      <w:pPr>
        <w:spacing w:after="60"/>
        <w:ind w:firstLine="567"/>
        <w:jc w:val="both"/>
      </w:pPr>
      <w:r>
        <w:rPr>
          <w:rFonts w:ascii="Arial" w:cs="Arial" w:eastAsia="Arial" w:hAnsi="Arial"/>
          <w:sz w:val="24"/>
          <w:szCs w:val="24"/>
        </w:rPr>
        <w:t xml:space="preserve">51. Рассмотрение обращения осуществляется в порядке, аналогичном процедуре подачи заявки на государственную гарантию, с участием уполномоченных государственных органов, указанных в </w:t>
      </w:r>
      <w:r>
        <w:rPr>
          <w:rFonts w:ascii="Arial" w:cs="Arial" w:eastAsia="Arial" w:hAnsi="Arial"/>
          <w:sz w:val="24"/>
          <w:szCs w:val="24"/>
        </w:rPr>
        <w:t xml:space="preserve">главе 5</w:t>
      </w:r>
      <w:r>
        <w:rPr>
          <w:rFonts w:ascii="Arial" w:cs="Arial" w:eastAsia="Arial" w:hAnsi="Arial"/>
          <w:sz w:val="24"/>
          <w:szCs w:val="24"/>
        </w:rPr>
        <w:t xml:space="preserve"> настоящего Положения, и Кабинета Министров. Решение о реструктуризации принимается Кабинетом Министров.</w:t>
      </w:r>
    </w:p>
    <w:p>
      <w:pPr>
        <w:spacing w:after="60"/>
        <w:ind w:firstLine="567"/>
        <w:jc w:val="both"/>
      </w:pPr>
      <w:r>
        <w:rPr>
          <w:rFonts w:ascii="Arial" w:cs="Arial" w:eastAsia="Arial" w:hAnsi="Arial"/>
          <w:sz w:val="24"/>
          <w:szCs w:val="24"/>
        </w:rPr>
        <w:t xml:space="preserve">52. Реструктуризация гарантированного государством займа осуществляется по соглашению кредитора и заемщика в случае принятия решения Кабинетом Министров. Решение Кабинета Министров о реструктуризации гарантированного займа подлежит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53. При реструктуризации гарантированного государством займа по требованию кредитора ранее выданная государственная гарантия может быть подтверждена Кабинетом Министров или заменена новой.</w:t>
      </w:r>
    </w:p>
    <w:p>
      <w:pPr>
        <w:spacing w:after="60"/>
        <w:ind w:firstLine="567"/>
        <w:jc w:val="both"/>
      </w:pPr>
      <w:r>
        <w:rPr>
          <w:rFonts w:ascii="Arial" w:cs="Arial" w:eastAsia="Arial" w:hAnsi="Arial"/>
          <w:sz w:val="24"/>
          <w:szCs w:val="24"/>
        </w:rPr>
        <w:t xml:space="preserve">54. Гарантируемая сумма займа при реструктуризации гарантированного государством займа не может превышать сумму займа по ранее выданной государственной гарантии.</w:t>
      </w:r>
    </w:p>
    <w:p>
      <w:pPr>
        <w:spacing w:after="200" w:before="200"/>
        <w:jc w:val="center"/>
      </w:pPr>
      <w:r>
        <w:rPr>
          <w:rFonts w:ascii="Arial" w:cs="Arial" w:eastAsia="Arial" w:hAnsi="Arial"/>
          <w:b/>
          <w:bCs/>
          <w:sz w:val="24"/>
          <w:szCs w:val="24"/>
        </w:rPr>
        <w:t xml:space="preserve">Глава 12. Замена заемщика по гарантированному государством займу</w:t>
      </w:r>
    </w:p>
    <w:p>
      <w:pPr>
        <w:spacing w:after="60"/>
        <w:ind w:firstLine="567"/>
        <w:jc w:val="both"/>
      </w:pPr>
      <w:r>
        <w:rPr>
          <w:rFonts w:ascii="Arial" w:cs="Arial" w:eastAsia="Arial" w:hAnsi="Arial"/>
          <w:sz w:val="24"/>
          <w:szCs w:val="24"/>
        </w:rPr>
        <w:t xml:space="preserve">55. Замена заемщика по гарантированному государством займу допускается по соглашению сторон договора займа в случае принятия такого решения Кабинетом Министров. Решение Кабинета Министров о замене заемщика по гарантированному займу подлежит согласованию с Жогорку Кенешем Кыргызской Республики.</w:t>
      </w:r>
    </w:p>
    <w:p>
      <w:pPr>
        <w:spacing w:after="60"/>
        <w:ind w:firstLine="567"/>
        <w:jc w:val="both"/>
      </w:pPr>
      <w:r>
        <w:rPr>
          <w:rFonts w:ascii="Arial" w:cs="Arial" w:eastAsia="Arial" w:hAnsi="Arial"/>
          <w:sz w:val="24"/>
          <w:szCs w:val="24"/>
        </w:rPr>
        <w:t xml:space="preserve">56. В случае замены заемщика по гарантированному государством займу государственная гарантия может быть заменена новой или подтверждена уполномоченным государственным органом по прогнозированию и исполнению бюджета по требованию кредитора на основании решения Кабинета Министров. При этом заменяемый заемщик должен соответствовать требованиям главы 4 настоящего Положения.</w:t>
      </w:r>
    </w:p>
    <w:p>
      <w:pPr>
        <w:spacing w:after="60"/>
        <w:ind w:firstLine="567"/>
        <w:jc w:val="both"/>
      </w:pPr>
      <w:r>
        <w:rPr>
          <w:rFonts w:ascii="Arial" w:cs="Arial" w:eastAsia="Arial" w:hAnsi="Arial"/>
          <w:sz w:val="24"/>
          <w:szCs w:val="24"/>
        </w:rPr>
        <w:t xml:space="preserve">57. Гарантируемая сумма займа при замене заемщика не может превышать сумму займа по ранее выданной государственной гарантии.</w:t>
      </w:r>
    </w:p>
    <w:p>
      <w:pPr>
        <w:spacing w:after="200" w:before="200"/>
        <w:jc w:val="center"/>
      </w:pPr>
      <w:r>
        <w:rPr>
          <w:rFonts w:ascii="Arial" w:cs="Arial" w:eastAsia="Arial" w:hAnsi="Arial"/>
          <w:b/>
          <w:bCs/>
          <w:sz w:val="24"/>
          <w:szCs w:val="24"/>
        </w:rPr>
        <w:t xml:space="preserve">Глава 13. Основания прекращения действия государственной гарантии</w:t>
      </w:r>
    </w:p>
    <w:p>
      <w:pPr>
        <w:spacing w:after="60"/>
        <w:ind w:firstLine="567"/>
        <w:jc w:val="both"/>
      </w:pPr>
      <w:r>
        <w:rPr>
          <w:rFonts w:ascii="Arial" w:cs="Arial" w:eastAsia="Arial" w:hAnsi="Arial"/>
          <w:sz w:val="24"/>
          <w:szCs w:val="24"/>
        </w:rPr>
        <w:t xml:space="preserve">58. Государственная гарантия прекращает свое действие в случаях:</w:t>
      </w:r>
    </w:p>
    <w:p>
      <w:pPr>
        <w:spacing w:after="60"/>
        <w:ind w:firstLine="567"/>
        <w:jc w:val="both"/>
      </w:pPr>
      <w:r>
        <w:rPr>
          <w:rFonts w:ascii="Arial" w:cs="Arial" w:eastAsia="Arial" w:hAnsi="Arial"/>
          <w:sz w:val="24"/>
          <w:szCs w:val="24"/>
        </w:rPr>
        <w:t xml:space="preserve">1) полного исполнения заемщиком обязательств по займу, гарантированному Кабинетом Министров;</w:t>
      </w:r>
    </w:p>
    <w:p>
      <w:pPr>
        <w:spacing w:after="60"/>
        <w:ind w:firstLine="567"/>
        <w:jc w:val="both"/>
      </w:pPr>
      <w:r>
        <w:rPr>
          <w:rFonts w:ascii="Arial" w:cs="Arial" w:eastAsia="Arial" w:hAnsi="Arial"/>
          <w:sz w:val="24"/>
          <w:szCs w:val="24"/>
        </w:rPr>
        <w:t xml:space="preserve">2) истечения указанного в договоре гарантии (гарантийном обязательстве) срока гарантии, если в нем не оговорено иное;</w:t>
      </w:r>
    </w:p>
    <w:p>
      <w:pPr>
        <w:spacing w:after="60"/>
        <w:ind w:firstLine="567"/>
        <w:jc w:val="both"/>
      </w:pPr>
      <w:r>
        <w:rPr>
          <w:rFonts w:ascii="Arial" w:cs="Arial" w:eastAsia="Arial" w:hAnsi="Arial"/>
          <w:sz w:val="24"/>
          <w:szCs w:val="24"/>
        </w:rPr>
        <w:t xml:space="preserve">3) специально оговоренных условий в договоре займа и/или в договоре о государственной гарантии, включая условия, основанные на результатах мониторинга, предусмотренного главой 9 настоящего Положения;</w:t>
      </w:r>
    </w:p>
    <w:p>
      <w:pPr>
        <w:spacing w:after="60"/>
        <w:ind w:firstLine="567"/>
        <w:jc w:val="both"/>
      </w:pPr>
      <w:r>
        <w:rPr>
          <w:rFonts w:ascii="Arial" w:cs="Arial" w:eastAsia="Arial" w:hAnsi="Arial"/>
          <w:sz w:val="24"/>
          <w:szCs w:val="24"/>
        </w:rPr>
        <w:t xml:space="preserve">4) замены гарантии на новую при реструктуризации и/или замене заемщика по гарантированному Кабинетом Министров займу.</w:t>
      </w:r>
    </w:p>
    <w:p>
      <w:pPr>
        <w:spacing w:after="200" w:before="200"/>
        <w:jc w:val="center"/>
      </w:pPr>
      <w:r>
        <w:rPr>
          <w:rFonts w:ascii="Arial" w:cs="Arial" w:eastAsia="Arial" w:hAnsi="Arial"/>
          <w:b/>
          <w:bCs/>
          <w:sz w:val="24"/>
          <w:szCs w:val="24"/>
        </w:rPr>
        <w:t xml:space="preserve">Глава 14. Ответственность за нецелевое использование средств гарантированного государством займа</w:t>
      </w:r>
    </w:p>
    <w:p>
      <w:pPr>
        <w:spacing w:after="60"/>
        <w:ind w:firstLine="567"/>
        <w:jc w:val="both"/>
      </w:pPr>
      <w:r>
        <w:rPr>
          <w:rFonts w:ascii="Arial" w:cs="Arial" w:eastAsia="Arial" w:hAnsi="Arial"/>
          <w:sz w:val="24"/>
          <w:szCs w:val="24"/>
        </w:rPr>
        <w:t xml:space="preserve">59. Заемщик по займу, имеющему государственную гарантию, несет ответственность в соответствии с Гражданским </w:t>
      </w:r>
      <w:hyperlink w:history="1" r:id="rIdofzznk8g1v1mtuviaovb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 нецелевое использование средств, полученных по займу, гарантированному Кабинетом Министров, и за возврат средств, отвлеченных на исполнение обязательств по государственной гарантии, в случае невыполнения заемщиком долговых обязательств по займу.</w:t>
      </w:r>
    </w:p>
    <w:p>
      <w:pPr>
        <w:spacing w:after="60"/>
        <w:ind w:firstLine="567"/>
        <w:jc w:val="both"/>
      </w:pPr>
      <w:r>
        <w:rPr>
          <w:rFonts w:ascii="Arial" w:cs="Arial" w:eastAsia="Arial" w:hAnsi="Arial"/>
          <w:sz w:val="24"/>
          <w:szCs w:val="24"/>
        </w:rPr>
        <w:t xml:space="preserve">60. В случае нецелевого использования средств по займу, обеспеченному государственной гарантией, либо предоставления заемщиком недостоверной информации и документов, уполномоченный государственный орган по прогнозированию и исполнению бюджета вправе инициировать меры взыскания с заемщика, включая досрочное требование возврата средств, а также приостановку или прекращение дальнейшего участия заемщика в программах государственного гарантирования. При этом обязательства по ранее выданной государственной гарантии сохраняются в полном объеме.</w:t>
      </w:r>
    </w:p>
    <w:p>
      <w:pPr>
        <w:spacing w:after="200" w:before="200"/>
        <w:jc w:val="center"/>
      </w:pPr>
      <w:r>
        <w:rPr>
          <w:rFonts w:ascii="Arial" w:cs="Arial" w:eastAsia="Arial" w:hAnsi="Arial"/>
          <w:b/>
          <w:bCs/>
          <w:sz w:val="24"/>
          <w:szCs w:val="24"/>
        </w:rPr>
        <w:t xml:space="preserve">Глава 15. Иные условия</w:t>
      </w:r>
    </w:p>
    <w:p>
      <w:pPr>
        <w:spacing w:after="60"/>
        <w:ind w:firstLine="567"/>
        <w:jc w:val="both"/>
      </w:pPr>
      <w:r>
        <w:rPr>
          <w:rFonts w:ascii="Arial" w:cs="Arial" w:eastAsia="Arial" w:hAnsi="Arial"/>
          <w:sz w:val="24"/>
          <w:szCs w:val="24"/>
        </w:rPr>
        <w:t xml:space="preserve">61. Не допускается односторонний отказ от исполнения обязательств по договору займа или продление срока исполнения обязательств перед заимодателем по гарантированному государством займу.</w:t>
      </w:r>
    </w:p>
    <w:p>
      <w:pPr>
        <w:spacing w:after="60"/>
        <w:ind w:firstLine="567"/>
        <w:jc w:val="both"/>
      </w:pPr>
      <w:r>
        <w:rPr>
          <w:rFonts w:ascii="Arial" w:cs="Arial" w:eastAsia="Arial" w:hAnsi="Arial"/>
          <w:sz w:val="24"/>
          <w:szCs w:val="24"/>
        </w:rPr>
        <w:t xml:space="preserve">62. Акты государственных органов и их должностных лиц, принятые в нарушение законодательства Кыргызской Республики и ухудшающие условия привлечения, использования или погашения гарантированных государством займов, подлежат отмене.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предоставления государственных гарантий Кабинетом Министров Кыргызской Республики</w:t>
      </w:r>
    </w:p>
    <w:p>
      <w:pPr>
        <w:spacing w:after="400" w:before="400"/>
        <w:jc w:val="center"/>
      </w:pPr>
      <w:r>
        <w:rPr>
          <w:rFonts w:ascii="Arial" w:cs="Arial" w:eastAsia="Arial" w:hAnsi="Arial"/>
          <w:b/>
          <w:bCs/>
          <w:sz w:val="32"/>
          <w:szCs w:val="32"/>
        </w:rPr>
        <w:t xml:space="preserve">МЕТОДИКА
 определения платежеспособности заемщика</w:t>
      </w:r>
    </w:p>
    <w:p>
      <w:pPr>
        <w:spacing w:after="60"/>
        <w:ind w:firstLine="567"/>
        <w:jc w:val="both"/>
      </w:pPr>
      <w:r>
        <w:rPr>
          <w:rFonts w:ascii="Arial" w:cs="Arial" w:eastAsia="Arial" w:hAnsi="Arial"/>
          <w:sz w:val="24"/>
          <w:szCs w:val="24"/>
        </w:rPr>
        <w:t xml:space="preserve">Целью анализа платежеспособности заемщика, претендующего на получение государственной гарантии, является определение его способности надлежащим образом исполнять обязательства по обслуживанию и погашению займа, обеспеченного государственной гарантией, а также минимизация рисков неисполнения заемщиком обязательств по гарантированному государством долгу.</w:t>
      </w:r>
    </w:p>
    <w:p>
      <w:pPr>
        <w:spacing w:after="60"/>
        <w:ind w:firstLine="567"/>
        <w:jc w:val="both"/>
      </w:pPr>
      <w:r>
        <w:rPr>
          <w:rFonts w:ascii="Arial" w:cs="Arial" w:eastAsia="Arial" w:hAnsi="Arial"/>
          <w:sz w:val="24"/>
          <w:szCs w:val="24"/>
        </w:rPr>
        <w:t xml:space="preserve">Надежное финансовое положение юридического лица является основой его платежеспособности и кредитоспособности, то есть способности своевременно удовлетворять платежные требования в соответствии с хозяйственными договорами, возвращать кредит и проценты, выплачивать заработную плату сотрудникам, вносить платежи и налоги в бюджет.</w:t>
      </w:r>
    </w:p>
    <w:p>
      <w:pPr>
        <w:spacing w:after="60"/>
        <w:ind w:firstLine="567"/>
        <w:jc w:val="both"/>
      </w:pPr>
      <w:r>
        <w:rPr>
          <w:rFonts w:ascii="Arial" w:cs="Arial" w:eastAsia="Arial" w:hAnsi="Arial"/>
          <w:sz w:val="24"/>
          <w:szCs w:val="24"/>
        </w:rPr>
        <w:t xml:space="preserve">В связи с этим оценка финансового состояния проводится в целях определения целесообразности выдачи государственной гарантии и условий его предоставления, принятия решения о реструктуризации государственной гарантии (то есть изменения основных условий предоставления государственной гарантии), оценки принимаемых кредитных рисков по каждой предоставленной государственной гарантии и качества объема отслеживаемой задолженности в целом.</w:t>
      </w:r>
    </w:p>
    <w:p>
      <w:pPr>
        <w:spacing w:after="60"/>
        <w:ind w:firstLine="567"/>
        <w:jc w:val="both"/>
      </w:pPr>
      <w:r>
        <w:rPr>
          <w:rFonts w:ascii="Arial" w:cs="Arial" w:eastAsia="Arial" w:hAnsi="Arial"/>
          <w:sz w:val="24"/>
          <w:szCs w:val="24"/>
        </w:rPr>
        <w:t xml:space="preserve">Результатом оценки является вывод о качестве финансового положения юридического лица: хорошем, среднем (удовлетворительном) или плохом (неудовлетворительном) финансовом положении. Методика оценки финансового состояния юридического лица основывается на проведении количественного и качественного анализа рисков.</w:t>
      </w:r>
    </w:p>
    <w:p>
      <w:pPr>
        <w:spacing w:after="60"/>
        <w:ind w:firstLine="567"/>
        <w:jc w:val="both"/>
      </w:pPr>
      <w:r>
        <w:rPr>
          <w:rFonts w:ascii="Arial" w:cs="Arial" w:eastAsia="Arial" w:hAnsi="Arial"/>
          <w:sz w:val="24"/>
          <w:szCs w:val="24"/>
        </w:rPr>
        <w:t xml:space="preserve">Количественный анализ рисков предполагает оценку следующих групп риска и характеризующих их финансовых коэффициентов:</w:t>
      </w:r>
    </w:p>
    <w:p>
      <w:pPr>
        <w:spacing w:after="60"/>
        <w:ind w:firstLine="567"/>
        <w:jc w:val="both"/>
      </w:pPr>
      <w:r>
        <w:rPr>
          <w:rFonts w:ascii="Arial" w:cs="Arial" w:eastAsia="Arial" w:hAnsi="Arial"/>
          <w:sz w:val="24"/>
          <w:szCs w:val="24"/>
        </w:rPr>
        <w:t xml:space="preserve">- риск неликвидности активов юридического лица (коэффициенты ликвидности);</w:t>
      </w:r>
    </w:p>
    <w:p>
      <w:pPr>
        <w:spacing w:after="60"/>
        <w:ind w:firstLine="567"/>
        <w:jc w:val="both"/>
      </w:pPr>
      <w:r>
        <w:rPr>
          <w:rFonts w:ascii="Arial" w:cs="Arial" w:eastAsia="Arial" w:hAnsi="Arial"/>
          <w:sz w:val="24"/>
          <w:szCs w:val="24"/>
        </w:rPr>
        <w:t xml:space="preserve">- риск снижения финансовой устойчивости юридического лица (коэффициент соотношения собственных и заемных средств, коэффициент обеспеченности собственными средствами).</w:t>
      </w:r>
    </w:p>
    <w:p>
      <w:pPr>
        <w:spacing w:after="60"/>
        <w:ind w:firstLine="567"/>
        <w:jc w:val="both"/>
      </w:pPr>
      <w:r>
        <w:rPr>
          <w:rFonts w:ascii="Arial" w:cs="Arial" w:eastAsia="Arial" w:hAnsi="Arial"/>
          <w:sz w:val="24"/>
          <w:szCs w:val="24"/>
        </w:rPr>
        <w:t xml:space="preserve">При проведении качественного анализа рисков рассматривается информация, которая не может быть выражена в количественных показателях. Для проведения такого анализа используются сведения, предоставленные заемщиком, а также сведения информационных баз данных и средств массовой информации (с корректировкой на вероятность их достоверности).</w:t>
      </w:r>
    </w:p>
    <w:p>
      <w:pPr>
        <w:spacing w:after="60"/>
        <w:ind w:firstLine="567"/>
        <w:jc w:val="both"/>
      </w:pPr>
      <w:r>
        <w:rPr>
          <w:rFonts w:ascii="Arial" w:cs="Arial" w:eastAsia="Arial" w:hAnsi="Arial"/>
          <w:sz w:val="24"/>
          <w:szCs w:val="24"/>
        </w:rPr>
        <w:t xml:space="preserve">На момент рассмотрения вопроса о выдаче государственной гарантии вновь образованному юридическому лицу финансовое положение юридического лица считается средним в связи с отсутствием прямых угроз его текущему финансовому положению.</w:t>
      </w:r>
    </w:p>
    <w:p>
      <w:pPr>
        <w:spacing w:after="60"/>
        <w:ind w:firstLine="567"/>
        <w:jc w:val="both"/>
      </w:pPr>
      <w:r>
        <w:rPr>
          <w:rFonts w:ascii="Arial" w:cs="Arial" w:eastAsia="Arial" w:hAnsi="Arial"/>
          <w:sz w:val="24"/>
          <w:szCs w:val="24"/>
        </w:rPr>
        <w:t xml:space="preserve">При оценке финансового состояния юридического лица используются коэффициенты ликвидности и финансовой устойчивости.</w:t>
      </w:r>
    </w:p>
    <w:p>
      <w:pPr>
        <w:spacing w:after="60"/>
        <w:ind w:firstLine="567"/>
        <w:jc w:val="both"/>
      </w:pPr>
      <w:r>
        <w:rPr>
          <w:rFonts w:ascii="Arial" w:cs="Arial" w:eastAsia="Arial" w:hAnsi="Arial"/>
          <w:sz w:val="24"/>
          <w:szCs w:val="24"/>
        </w:rPr>
        <w:t xml:space="preserve">1. Показатели ликвидности и платежеспособности.</w:t>
      </w:r>
    </w:p>
    <w:p>
      <w:pPr>
        <w:spacing w:after="60"/>
        <w:ind w:firstLine="567"/>
        <w:jc w:val="both"/>
      </w:pPr>
      <w:r>
        <w:rPr>
          <w:rFonts w:ascii="Arial" w:cs="Arial" w:eastAsia="Arial" w:hAnsi="Arial"/>
          <w:sz w:val="24"/>
          <w:szCs w:val="24"/>
        </w:rPr>
        <w:t xml:space="preserve">При оценке финансового положения юридического лица с точки зрения краткосрочной перспективы критериями оценки выступают показатели ликвидности и платежеспособности (Таблица 1), то есть способность своевременно и в полном объеме произвести расчеты по краткосрочным обязательствам.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платежеспособности заемщика
 в краткосрочной перспективе</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8"/>
        <w:gridCol w:w="1504"/>
        <w:gridCol w:w="2129"/>
        <w:gridCol w:w="3448"/>
        <w:gridCol w:w="1598"/>
      </w:tblGrid>
      <w:tr>
        <w:tc>
          <w:tcPr>
            <w:tcW w:type="dxa" w:w="14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2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34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w:t>
            </w:r>
          </w:p>
        </w:tc>
      </w:tr>
      <w:tr>
        <w:tc>
          <w:tcPr>
            <w:tcW w:type="dxa" w:w="14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ликвидности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текущей ликвидности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Дает общую оценку ликвидности активов, показывая отношение стоимости текущих активов к стоимости текущих обязательств.</w:t>
            </w:r>
          </w:p>
          <w:p>
            <w:pPr>
              <w:jc w:val="left"/>
            </w:pPr>
            <w:r>
              <w:rPr>
                <w:rFonts w:ascii="Arial" w:cs="Arial" w:eastAsia="Arial" w:hAnsi="Arial"/>
                <w:sz w:val="24"/>
                <w:szCs w:val="24"/>
              </w:rPr>
              <w:t xml:space="preserve">Логика исчисления данного показателя заключается в том, что заемщик погашает краткосрочные обязательства в основном за счет текущих активов, следовательно, если текущие активы превышают по величине текущие обязательства, заемщик может рассматриваться как успешно функционирующий</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2 - хорошее</w:t>
            </w:r>
          </w:p>
          <w:p>
            <w:pPr>
              <w:jc w:val="center"/>
            </w:pPr>
            <w:r>
              <w:rPr>
                <w:rFonts w:ascii="Arial" w:cs="Arial" w:eastAsia="Arial" w:hAnsi="Arial"/>
                <w:sz w:val="24"/>
                <w:szCs w:val="24"/>
              </w:rPr>
              <w:t xml:space="preserve">1,5-2 - удовлетворительное</w:t>
            </w:r>
          </w:p>
          <w:p>
            <w:pPr>
              <w:jc w:val="center"/>
            </w:pPr>
            <w:r>
              <w:rPr>
                <w:rFonts w:ascii="Arial" w:cs="Arial" w:eastAsia="Arial" w:hAnsi="Arial"/>
                <w:sz w:val="24"/>
                <w:szCs w:val="24"/>
              </w:rPr>
              <w:t xml:space="preserve">&lt; 1,5 -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быстрой ликвидности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Оборотные активы (за исключением товарно-материальных запасов)/краткосрочные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своему смысловому значению данный коэффициент аналогичен коэффициенту текущей ликвидности. Но исчисляется по более узкому кругу текущих активов, из расчета исключается наименее ликвидная их часть - производственные запасы.</w:t>
            </w:r>
          </w:p>
          <w:p>
            <w:pPr>
              <w:jc w:val="left"/>
            </w:pPr>
            <w:r>
              <w:rPr>
                <w:rFonts w:ascii="Arial" w:cs="Arial" w:eastAsia="Arial" w:hAnsi="Arial"/>
                <w:sz w:val="24"/>
                <w:szCs w:val="24"/>
              </w:rPr>
              <w:t xml:space="preserve">Логика такого исключения состоит не только в значительно меньшей ликвидности запасов, но, что более важно, и в том, что денежные средства, которые можно выручить в случае вынужденной реализации производственных запасов, могут быть существенно ниже затрат по их приобретению.</w:t>
            </w:r>
          </w:p>
          <w:p>
            <w:pPr>
              <w:jc w:val="left"/>
            </w:pPr>
            <w:r>
              <w:rPr>
                <w:rFonts w:ascii="Arial" w:cs="Arial" w:eastAsia="Arial" w:hAnsi="Arial"/>
                <w:sz w:val="24"/>
                <w:szCs w:val="24"/>
              </w:rPr>
              <w:t xml:space="preserve">Поэтому так важно определение способности предприятия расплатиться по краткосрочным обязательствам продажи товарно-материальных запасов</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1 - хорошее</w:t>
            </w:r>
          </w:p>
          <w:p>
            <w:pPr>
              <w:jc w:val="center"/>
            </w:pPr>
            <w:r>
              <w:rPr>
                <w:rFonts w:ascii="Arial" w:cs="Arial" w:eastAsia="Arial" w:hAnsi="Arial"/>
                <w:sz w:val="24"/>
                <w:szCs w:val="24"/>
              </w:rPr>
              <w:t xml:space="preserve">0,8-1 - удовлетворительное</w:t>
            </w:r>
          </w:p>
          <w:p>
            <w:pPr>
              <w:jc w:val="center"/>
            </w:pPr>
            <w:r>
              <w:rPr>
                <w:rFonts w:ascii="Arial" w:cs="Arial" w:eastAsia="Arial" w:hAnsi="Arial"/>
                <w:sz w:val="24"/>
                <w:szCs w:val="24"/>
              </w:rPr>
              <w:t xml:space="preserve">&lt; 0,8 -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средства/Краткосрочные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абсолютной ликвидности является наиболее жестким критерием ликвидности заемщика и показывает, какая часть краткосрочных заемных обязательств может быть при необходимости погашена немедленно только с использованием имеющихся денежных средств без использования других активов</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0,5 - хорошее</w:t>
            </w:r>
          </w:p>
          <w:p>
            <w:pPr>
              <w:jc w:val="center"/>
            </w:pPr>
            <w:r>
              <w:rPr>
                <w:rFonts w:ascii="Arial" w:cs="Arial" w:eastAsia="Arial" w:hAnsi="Arial"/>
                <w:sz w:val="24"/>
                <w:szCs w:val="24"/>
              </w:rPr>
              <w:t xml:space="preserve">0,2-0,5 - удовлетворительное</w:t>
            </w:r>
          </w:p>
          <w:p>
            <w:pPr>
              <w:jc w:val="center"/>
            </w:pPr>
            <w:r>
              <w:rPr>
                <w:rFonts w:ascii="Arial" w:cs="Arial" w:eastAsia="Arial" w:hAnsi="Arial"/>
                <w:sz w:val="24"/>
                <w:szCs w:val="24"/>
              </w:rPr>
              <w:t xml:space="preserve">&lt; 0,2 - неудовлетворительное</w:t>
            </w:r>
          </w:p>
        </w:tc>
      </w:tr>
      <w:tr>
        <w:tc>
          <w:tcPr>
            <w:tcW w:type="dxa" w:w="149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платежеспособности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средства/Краткосрочные обязательства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показатель определяет величину собственных оборотных средств, имеющуюся у заемщика в составе оборотных активов.</w:t>
            </w:r>
          </w:p>
          <w:p>
            <w:pPr>
              <w:jc w:val="left"/>
            </w:pPr>
            <w:r>
              <w:rPr>
                <w:rFonts w:ascii="Arial" w:cs="Arial" w:eastAsia="Arial" w:hAnsi="Arial"/>
                <w:sz w:val="24"/>
                <w:szCs w:val="24"/>
              </w:rPr>
              <w:t xml:space="preserve">Увеличение собственных оборотных средств свидетельствует о повышении деловой активности заемщика, а их уменьшение, наоборот, - о снижении его деловой активности</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0,5 - хорошее</w:t>
            </w:r>
          </w:p>
          <w:p>
            <w:pPr>
              <w:jc w:val="center"/>
            </w:pPr>
            <w:r>
              <w:rPr>
                <w:rFonts w:ascii="Arial" w:cs="Arial" w:eastAsia="Arial" w:hAnsi="Arial"/>
                <w:sz w:val="24"/>
                <w:szCs w:val="24"/>
              </w:rPr>
              <w:t xml:space="preserve">0,2-0,5 - удовлетворительное</w:t>
            </w:r>
          </w:p>
          <w:p>
            <w:pPr>
              <w:jc w:val="center"/>
            </w:pPr>
            <w:r>
              <w:rPr>
                <w:rFonts w:ascii="Arial" w:cs="Arial" w:eastAsia="Arial" w:hAnsi="Arial"/>
                <w:sz w:val="24"/>
                <w:szCs w:val="24"/>
              </w:rPr>
              <w:t xml:space="preserve">&lt; 0,2 -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Маневренность собственного капитала</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собственных оборотных средств/величина собственного капитала</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показывает, какая часть собственного капитала заемщика используется для финансирования текущей деятельности, т.е. вложена в оборотные средства, а какая часть капитализирована</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0 - хорошее</w:t>
            </w:r>
          </w:p>
          <w:p>
            <w:pPr>
              <w:jc w:val="center"/>
            </w:pPr>
            <w:r>
              <w:rPr>
                <w:rFonts w:ascii="Arial" w:cs="Arial" w:eastAsia="Arial" w:hAnsi="Arial"/>
                <w:sz w:val="24"/>
                <w:szCs w:val="24"/>
              </w:rPr>
              <w:t xml:space="preserve">&lt;= 0 -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обеспеченности собственными оборотными средствами</w:t>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оборотные средства/оборотные активы</w:t>
            </w:r>
          </w:p>
        </w:tc>
        <w:tc>
          <w:tcPr>
            <w:tcW w:type="dxa" w:w="3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финансовом плане текущая деятельность заемщика выражается в постоянной трансформации краткосрочных активов и пассивов.</w:t>
            </w:r>
          </w:p>
          <w:p>
            <w:pPr>
              <w:jc w:val="left"/>
            </w:pPr>
            <w:r>
              <w:rPr>
                <w:rFonts w:ascii="Arial" w:cs="Arial" w:eastAsia="Arial" w:hAnsi="Arial"/>
                <w:sz w:val="24"/>
                <w:szCs w:val="24"/>
              </w:rPr>
              <w:t xml:space="preserve">Любые активы успешно функционирующего предприятия имеют два источника финансирования: собственные и привлеченные.</w:t>
            </w:r>
          </w:p>
          <w:p>
            <w:pPr>
              <w:jc w:val="left"/>
            </w:pPr>
            <w:r>
              <w:rPr>
                <w:rFonts w:ascii="Arial" w:cs="Arial" w:eastAsia="Arial" w:hAnsi="Arial"/>
                <w:sz w:val="24"/>
                <w:szCs w:val="24"/>
              </w:rPr>
              <w:t xml:space="preserve">Если на предприятии наблюдается недостаток собственных оборотных средств, это предприятие имеет, как правило, неудовлетворительную структуру баланса, неустойчивое финансовое состояние.</w:t>
            </w:r>
          </w:p>
          <w:p>
            <w:pPr>
              <w:jc w:val="left"/>
            </w:pPr>
            <w:r>
              <w:rPr>
                <w:rFonts w:ascii="Arial" w:cs="Arial" w:eastAsia="Arial" w:hAnsi="Arial"/>
                <w:sz w:val="24"/>
                <w:szCs w:val="24"/>
              </w:rPr>
              <w:t xml:space="preserve">Наличие собственных оборотных средств является одним из важных показателей финансовой устойчивости организации, отсутствие собственного оборотного капитала свидетельствует о том, что все оборотные средства организации сформированы за счет заемных источников</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0,1 - хорошее</w:t>
            </w:r>
          </w:p>
          <w:p>
            <w:pPr>
              <w:jc w:val="center"/>
            </w:pPr>
            <w:r>
              <w:rPr>
                <w:rFonts w:ascii="Arial" w:cs="Arial" w:eastAsia="Arial" w:hAnsi="Arial"/>
                <w:sz w:val="24"/>
                <w:szCs w:val="24"/>
              </w:rPr>
              <w:t xml:space="preserve">&lt;= 0,1 - неудовлетворительное</w:t>
            </w:r>
          </w:p>
        </w:tc>
      </w:tr>
    </w:tbl>
    <w:p>
      <w:pPr>
        <w:spacing w:after="60" w:before="120"/>
        <w:ind w:firstLine="567"/>
        <w:jc w:val="both"/>
      </w:pPr>
      <w:r>
        <w:rPr>
          <w:rFonts w:ascii="Arial" w:cs="Arial" w:eastAsia="Arial" w:hAnsi="Arial"/>
          <w:sz w:val="24"/>
          <w:szCs w:val="24"/>
        </w:rPr>
        <w:t xml:space="preserve">2. Показатели финансовой устойчивости.</w:t>
      </w:r>
    </w:p>
    <w:p>
      <w:pPr>
        <w:spacing w:after="60"/>
        <w:ind w:firstLine="567"/>
        <w:jc w:val="both"/>
      </w:pPr>
      <w:r>
        <w:rPr>
          <w:rFonts w:ascii="Arial" w:cs="Arial" w:eastAsia="Arial" w:hAnsi="Arial"/>
          <w:sz w:val="24"/>
          <w:szCs w:val="24"/>
        </w:rPr>
        <w:t xml:space="preserve">Одной из основных характеристик финансового состояния юридического лица является его стабильность с позиции долгосрочной перспективы. Способность хозяйствующего субъекта своевременно отвечать по своим долгосрочным займам свидетельствует о его финансовой устойчивости в долгосрочной перспективе. В связи с этим мировая учетно-аналитическая практика разработала ряд систем показателей для оценки финансовой устойчивости предприятия и определение кредитоспособности заемщика (таблица 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кредитоспособности заемщика
 в долгосрочной перспективе</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6"/>
        <w:gridCol w:w="1696"/>
        <w:gridCol w:w="2099"/>
        <w:gridCol w:w="3538"/>
        <w:gridCol w:w="1600"/>
      </w:tblGrid>
      <w:tr>
        <w:tc>
          <w:tcPr>
            <w:tcW w:type="dxa" w:w="12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20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35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c>
          <w:tcPr>
            <w:tcW w:type="dxa" w:w="1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w:t>
            </w:r>
          </w:p>
        </w:tc>
      </w:tr>
      <w:tr>
        <w:tc>
          <w:tcPr>
            <w:tcW w:type="dxa" w:w="12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автономии</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капитал/итог баланса</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отражает долю собственных средств в пассивах заемщика и представляет интерес и для собственников, и для кредиторов.</w:t>
            </w:r>
          </w:p>
          <w:p>
            <w:pPr>
              <w:jc w:val="left"/>
            </w:pPr>
            <w:r>
              <w:rPr>
                <w:rFonts w:ascii="Arial" w:cs="Arial" w:eastAsia="Arial" w:hAnsi="Arial"/>
                <w:sz w:val="24"/>
                <w:szCs w:val="24"/>
              </w:rPr>
              <w:t xml:space="preserve">Считается, что доля собственных средств в пассивах должна превышать долю заемных средств.</w:t>
            </w:r>
          </w:p>
          <w:p>
            <w:pPr>
              <w:jc w:val="left"/>
            </w:pPr>
            <w:r>
              <w:rPr>
                <w:rFonts w:ascii="Arial" w:cs="Arial" w:eastAsia="Arial" w:hAnsi="Arial"/>
                <w:sz w:val="24"/>
                <w:szCs w:val="24"/>
              </w:rPr>
              <w:t xml:space="preserve">Высокий коэффициент автономии сокращает финансовый риск и дает возможность привлекать дополнительные средства со стороны. Но слишком большая величина может свидетельствовать и о неумении привлекать кредитные ресурсы.</w:t>
            </w:r>
          </w:p>
          <w:p>
            <w:pPr>
              <w:jc w:val="left"/>
            </w:pPr>
            <w:r>
              <w:rPr>
                <w:rFonts w:ascii="Arial" w:cs="Arial" w:eastAsia="Arial" w:hAnsi="Arial"/>
                <w:sz w:val="24"/>
                <w:szCs w:val="24"/>
              </w:rPr>
              <w:t xml:space="preserve">Изменения коэффициента могут указывать на расширение или сокращение деятельности заемщика</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0,4 - хорошее</w:t>
            </w:r>
          </w:p>
          <w:p>
            <w:pPr>
              <w:jc w:val="center"/>
            </w:pPr>
            <w:r>
              <w:rPr>
                <w:rFonts w:ascii="Arial" w:cs="Arial" w:eastAsia="Arial" w:hAnsi="Arial"/>
                <w:sz w:val="24"/>
                <w:szCs w:val="24"/>
              </w:rPr>
              <w:t xml:space="preserve">0,3-0,4 - удовлетворительное</w:t>
            </w:r>
          </w:p>
          <w:p>
            <w:pPr>
              <w:jc w:val="center"/>
            </w:pPr>
            <w:r>
              <w:rPr>
                <w:rFonts w:ascii="Arial" w:cs="Arial" w:eastAsia="Arial" w:hAnsi="Arial"/>
                <w:sz w:val="24"/>
                <w:szCs w:val="24"/>
              </w:rPr>
              <w:t xml:space="preserve">&lt; 0,3 - неудовлетворительное</w:t>
            </w:r>
          </w:p>
        </w:tc>
      </w:tr>
      <w:tr>
        <w:tc>
          <w:tcPr>
            <w:tcW w:type="dxa" w:w="12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финансовой устойчивости</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соотношения собственных и заемных средств (коэффициент капитализации)</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Величина обязательств/собственный капитал</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имеет следующую интерпретацию: на каждый вложенный сом приходится определенная сумма сомов заемных средств, что свидетельствует о достаточно высоком уровне риска финансовой устойчивости</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 3 - хорошее</w:t>
            </w:r>
          </w:p>
          <w:p>
            <w:pPr>
              <w:jc w:val="center"/>
            </w:pPr>
            <w:r>
              <w:rPr>
                <w:rFonts w:ascii="Arial" w:cs="Arial" w:eastAsia="Arial" w:hAnsi="Arial"/>
                <w:sz w:val="24"/>
                <w:szCs w:val="24"/>
              </w:rPr>
              <w:t xml:space="preserve">3-3,5 - удовлетворительное</w:t>
            </w:r>
          </w:p>
          <w:p>
            <w:pPr>
              <w:jc w:val="center"/>
            </w:pPr>
            <w:r>
              <w:rPr>
                <w:rFonts w:ascii="Arial" w:cs="Arial" w:eastAsia="Arial" w:hAnsi="Arial"/>
                <w:sz w:val="24"/>
                <w:szCs w:val="24"/>
              </w:rPr>
              <w:t xml:space="preserve">&gt; 3,5 -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структуры долгосрочных вложений</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обязательства/внеоборотные активы</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Основная идея расчета коэффициента структуры долгосрочных вложений основана на предположении, что долгосрочные кредиты и займы используются для финансирования основных средств и иных капитальных вложений, что свидетельствует определить, какая часть основных средств и прочих внеоборотных активов (%) финансируется за счет внешних инвесторов</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 0,5 - хорошее</w:t>
            </w:r>
          </w:p>
          <w:p>
            <w:pPr>
              <w:jc w:val="center"/>
            </w:pPr>
            <w:r>
              <w:rPr>
                <w:rFonts w:ascii="Arial" w:cs="Arial" w:eastAsia="Arial" w:hAnsi="Arial"/>
                <w:sz w:val="24"/>
                <w:szCs w:val="24"/>
              </w:rPr>
              <w:t xml:space="preserve">0,5-0,6 - удовлетворительное</w:t>
            </w:r>
          </w:p>
          <w:p>
            <w:pPr>
              <w:jc w:val="center"/>
            </w:pPr>
            <w:r>
              <w:rPr>
                <w:rFonts w:ascii="Arial" w:cs="Arial" w:eastAsia="Arial" w:hAnsi="Arial"/>
                <w:sz w:val="24"/>
                <w:szCs w:val="24"/>
              </w:rPr>
              <w:t xml:space="preserve">&gt; 0,6 -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Уровень финансового левериджа</w:t>
            </w:r>
          </w:p>
        </w:tc>
        <w:tc>
          <w:tcPr>
            <w:tcW w:type="dxa" w:w="2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Долгосрочные обязательства/собственный капитал</w:t>
            </w:r>
          </w:p>
        </w:tc>
        <w:tc>
          <w:tcPr>
            <w:tcW w:type="dxa" w:w="35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Данный коэффициент считается одной из основных характеристик финансовой устойчивости заемщика, а его экономическая интерпретация заключается в следующем: какая сумма заемного капитала приходится на каждый сом собственных средств</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&lt; 3 - хорошее</w:t>
            </w:r>
          </w:p>
          <w:p>
            <w:pPr>
              <w:jc w:val="center"/>
            </w:pPr>
            <w:r>
              <w:rPr>
                <w:rFonts w:ascii="Arial" w:cs="Arial" w:eastAsia="Arial" w:hAnsi="Arial"/>
                <w:sz w:val="24"/>
                <w:szCs w:val="24"/>
              </w:rPr>
              <w:t xml:space="preserve">3-3,5 - удовлетворительное</w:t>
            </w:r>
          </w:p>
          <w:p>
            <w:pPr>
              <w:jc w:val="center"/>
            </w:pPr>
            <w:r>
              <w:rPr>
                <w:rFonts w:ascii="Arial" w:cs="Arial" w:eastAsia="Arial" w:hAnsi="Arial"/>
                <w:sz w:val="24"/>
                <w:szCs w:val="24"/>
              </w:rPr>
              <w:t xml:space="preserve">&gt; 3,5 - неудовлетворительное</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 оценке эффективности деятельности юридического лица используются показатели рентабельности.</w:t>
      </w:r>
    </w:p>
    <w:p>
      <w:pPr>
        <w:spacing w:after="60"/>
        <w:ind w:firstLine="567"/>
        <w:jc w:val="both"/>
      </w:pPr>
      <w:r>
        <w:rPr>
          <w:rFonts w:ascii="Arial" w:cs="Arial" w:eastAsia="Arial" w:hAnsi="Arial"/>
          <w:sz w:val="24"/>
          <w:szCs w:val="24"/>
        </w:rPr>
        <w:t xml:space="preserve">Показатели рентабельности (таблица 3) предназначены для оценки общей эффективности вложения средств в деятельность юридического лица.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Методика определения рентабельности деятельности заемщика</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7"/>
        <w:gridCol w:w="1504"/>
        <w:gridCol w:w="1757"/>
        <w:gridCol w:w="3902"/>
        <w:gridCol w:w="1708"/>
      </w:tblGrid>
      <w:tr>
        <w:tc>
          <w:tcPr>
            <w:tcW w:type="dxa" w:w="13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1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Коэффициенты</w:t>
            </w:r>
          </w:p>
        </w:tc>
        <w:tc>
          <w:tcPr>
            <w:tcW w:type="dxa" w:w="17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Формула исчисления</w:t>
            </w:r>
          </w:p>
        </w:tc>
        <w:tc>
          <w:tcPr>
            <w:tcW w:type="dxa" w:w="39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w:t>
            </w:r>
          </w:p>
        </w:tc>
        <w:tc>
          <w:tcPr>
            <w:tcW w:type="dxa" w:w="1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w:t>
            </w:r>
          </w:p>
        </w:tc>
      </w:tr>
      <w:tr>
        <w:tc>
          <w:tcPr>
            <w:tcW w:type="dxa" w:w="1307"/>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 рентабельности</w:t>
            </w: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активов</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прибыль/совокупные активы</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сколько сомов чистой прибыли получено на каждый сом активов.</w:t>
            </w:r>
          </w:p>
          <w:p>
            <w:pPr>
              <w:jc w:val="left"/>
            </w:pPr>
            <w:r>
              <w:rPr>
                <w:rFonts w:ascii="Arial" w:cs="Arial" w:eastAsia="Arial" w:hAnsi="Arial"/>
                <w:sz w:val="24"/>
                <w:szCs w:val="24"/>
              </w:rPr>
              <w:t xml:space="preserve">Если рентабельность активов меньше процентной ставки за долгосрочные кредиты, то предприятие нельзя считать благополучным</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0,001 - хорошее</w:t>
            </w:r>
          </w:p>
          <w:p>
            <w:pPr>
              <w:jc w:val="center"/>
            </w:pPr>
            <w:r>
              <w:rPr>
                <w:rFonts w:ascii="Arial" w:cs="Arial" w:eastAsia="Arial" w:hAnsi="Arial"/>
                <w:sz w:val="24"/>
                <w:szCs w:val="24"/>
              </w:rPr>
              <w:t xml:space="preserve">&lt;= 0,001 </w:t>
            </w:r>
            <w:r>
              <w:rPr>
                <w:rFonts w:ascii="Arial" w:cs="Arial" w:eastAsia="Arial" w:hAnsi="Arial"/>
                <w:sz w:val="24"/>
                <w:szCs w:val="24"/>
              </w:rPr>
              <w:t xml:space="preserve">- </w:t>
            </w:r>
            <w:r>
              <w:rPr>
                <w:rFonts w:ascii="Arial" w:cs="Arial" w:eastAsia="Arial" w:hAnsi="Arial"/>
                <w:sz w:val="24"/>
                <w:szCs w:val="24"/>
              </w:rPr>
              <w:t xml:space="preserve">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продаж</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прибыль/выручка</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величину чистого дохода, полученного предприятием, на каждый сом реализованной продукции</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0,2 - хорошее</w:t>
            </w:r>
          </w:p>
          <w:p>
            <w:pPr>
              <w:jc w:val="center"/>
            </w:pPr>
            <w:r>
              <w:rPr>
                <w:rFonts w:ascii="Arial" w:cs="Arial" w:eastAsia="Arial" w:hAnsi="Arial"/>
                <w:sz w:val="24"/>
                <w:szCs w:val="24"/>
              </w:rPr>
              <w:t xml:space="preserve">0,1-0,2 - удовлетворительное;</w:t>
            </w:r>
          </w:p>
          <w:p>
            <w:pPr>
              <w:jc w:val="center"/>
            </w:pPr>
            <w:r>
              <w:rPr>
                <w:rFonts w:ascii="Arial" w:cs="Arial" w:eastAsia="Arial" w:hAnsi="Arial"/>
                <w:sz w:val="24"/>
                <w:szCs w:val="24"/>
              </w:rPr>
              <w:t xml:space="preserve">&lt; 0,1 - неудовлетворительное</w:t>
            </w:r>
          </w:p>
        </w:tc>
      </w:tr>
      <w:tr>
        <w:tc>
          <w:tcPr>
            <w:vMerge w:val="continue"/>
            <w:tcBorders>
              <w:top w:val="none" w:color="auto" w:sz="0"/>
              <w:left w:val="single" w:color="CBBF9E" w:sz="4"/>
              <w:bottom w:val="single" w:color="CBBF9E" w:sz="4"/>
              <w:right w:val="single" w:color="CBBF9E" w:sz="4"/>
            </w:tcBorders>
          </w:tcPr>
          <w:p/>
        </w:tc>
        <w:tc>
          <w:tcPr>
            <w:tcW w:type="dxa" w:w="1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собственного капитала</w:t>
            </w:r>
          </w:p>
        </w:tc>
        <w:tc>
          <w:tcPr>
            <w:tcW w:type="dxa" w:w="1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Чистая прибыль/собственный капитал</w:t>
            </w:r>
          </w:p>
        </w:tc>
        <w:tc>
          <w:tcPr>
            <w:tcW w:type="dxa" w:w="3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Коэффициент показывает насколько эффективно использовался собственный капитал и особенно важен для акционеров, поскольку может оказывать влияние на котировки акций на фондовой бирже</w:t>
            </w:r>
          </w:p>
        </w:tc>
        <w:tc>
          <w:tcPr>
            <w:tcW w:type="dxa" w:w="1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 0,2 - хорошее</w:t>
            </w:r>
          </w:p>
          <w:p>
            <w:pPr>
              <w:jc w:val="center"/>
            </w:pPr>
            <w:r>
              <w:rPr>
                <w:rFonts w:ascii="Arial" w:cs="Arial" w:eastAsia="Arial" w:hAnsi="Arial"/>
                <w:sz w:val="24"/>
                <w:szCs w:val="24"/>
              </w:rPr>
              <w:t xml:space="preserve">0,1-0,2 - удовлетворительное;</w:t>
            </w:r>
          </w:p>
          <w:p>
            <w:pPr>
              <w:jc w:val="center"/>
            </w:pPr>
            <w:r>
              <w:rPr>
                <w:rFonts w:ascii="Arial" w:cs="Arial" w:eastAsia="Arial" w:hAnsi="Arial"/>
                <w:sz w:val="24"/>
                <w:szCs w:val="24"/>
              </w:rPr>
              <w:t xml:space="preserve">&lt;= 0,1 - неудовлетворительное</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 результатам анализа показателей платежеспособности, кредитоспособности и рентабельности заемщика формируется итоговая оценка его финансового положения, которая может быть определена как "хорошее", "удовлетворительное" или "неудовлетворительное".</w:t>
      </w:r>
    </w:p>
    <w:p>
      <w:pPr>
        <w:spacing w:after="60"/>
        <w:ind w:firstLine="567"/>
        <w:jc w:val="both"/>
      </w:pPr>
      <w:r>
        <w:rPr>
          <w:rFonts w:ascii="Arial" w:cs="Arial" w:eastAsia="Arial" w:hAnsi="Arial"/>
          <w:sz w:val="24"/>
          <w:szCs w:val="24"/>
        </w:rPr>
        <w:t xml:space="preserve">Итоговая оценка присваивается на основе принципа наименьшего уровня среди всех рассчитанных показателей:</w:t>
      </w:r>
    </w:p>
    <w:p>
      <w:pPr>
        <w:spacing w:after="60"/>
        <w:ind w:firstLine="567"/>
        <w:jc w:val="both"/>
      </w:pPr>
      <w:r>
        <w:rPr>
          <w:rFonts w:ascii="Arial" w:cs="Arial" w:eastAsia="Arial" w:hAnsi="Arial"/>
          <w:sz w:val="24"/>
          <w:szCs w:val="24"/>
        </w:rPr>
        <w:t xml:space="preserve">- если все рассчитанные коэффициенты соответствуют уровню "хорошее", финансовое положение заемщика оценивается как хорошее, а уровень кредитного риска - низкий;</w:t>
      </w:r>
    </w:p>
    <w:p>
      <w:pPr>
        <w:spacing w:after="60"/>
        <w:ind w:firstLine="567"/>
        <w:jc w:val="both"/>
      </w:pPr>
      <w:r>
        <w:rPr>
          <w:rFonts w:ascii="Arial" w:cs="Arial" w:eastAsia="Arial" w:hAnsi="Arial"/>
          <w:sz w:val="24"/>
          <w:szCs w:val="24"/>
        </w:rPr>
        <w:t xml:space="preserve">- при наличии хотя бы одного показателя со значением "удовлетворительное" финансовое положение заемщика признается удовлетворительным, что отражает умеренный риск;</w:t>
      </w:r>
    </w:p>
    <w:p>
      <w:pPr>
        <w:spacing w:after="60"/>
        <w:ind w:firstLine="567"/>
        <w:jc w:val="both"/>
      </w:pPr>
      <w:r>
        <w:rPr>
          <w:rFonts w:ascii="Arial" w:cs="Arial" w:eastAsia="Arial" w:hAnsi="Arial"/>
          <w:sz w:val="24"/>
          <w:szCs w:val="24"/>
        </w:rPr>
        <w:t xml:space="preserve">- если хотя бы один показатель имеет значение "неудовлетворительное", финансовое положение заемщика считается неудовлетворительным, уровень риска - высоким, и в данном случае государственная гарантия не предоставляется.</w:t>
      </w:r>
    </w:p>
    <w:p>
      <w:pPr>
        <w:spacing w:after="60"/>
        <w:ind w:firstLine="567"/>
        <w:jc w:val="both"/>
      </w:pPr>
      <w:r>
        <w:rPr>
          <w:rFonts w:ascii="Arial" w:cs="Arial" w:eastAsia="Arial" w:hAnsi="Arial"/>
          <w:sz w:val="24"/>
          <w:szCs w:val="24"/>
        </w:rPr>
        <w:t xml:space="preserve">Если количественная оценка показателей платежеспособности, кредитоспособности и рентабельности заемщика не позволяет однозначно определить применимую ставку платы, размер платы может быть установлен на основе экспертной оценки с учетом приоритетов проводимой политики.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ulzjcvzej834cljftkb2">
      <w:r>
        <w:rPr>
          <w:rFonts w:ascii="Arial" w:cs="Arial" w:eastAsia="Arial" w:hAnsi="Arial"/>
          <w:color w:val="132D3F"/>
          <w:sz w:val="16"/>
          <w:szCs w:val="16"/>
          <w:u w:val="single"/>
        </w:rPr>
        <w:t xml:space="preserve">dalil.kg/document/230044800</w:t>
      </w:r>
    </w:hyperlink>
  </w:p>
  <w:p>
    <w:pPr>
      <w:spacing w:after="0" w:before="40"/>
      <w:jc w:val="center"/>
    </w:pPr>
    <w:hyperlink w:history="1" r:id="rIdx_eggh1_kdmzfalhbx5c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q1xfxiljvzheo9nyrf5" Type="http://schemas.openxmlformats.org/officeDocument/2006/relationships/hyperlink" Target="https://dalil.kg/document/230044796" TargetMode="External"/><Relationship Id="rIduwxlwfoylvobx7np4lrq0" Type="http://schemas.openxmlformats.org/officeDocument/2006/relationships/hyperlink" Target="https://dalil.kg/document/111338" TargetMode="External"/><Relationship Id="rIdbkb-cflnj5ftdaei9x4av" Type="http://schemas.openxmlformats.org/officeDocument/2006/relationships/hyperlink" Target="https://dalil.kg/document/4" TargetMode="External"/><Relationship Id="rId-egvrfaexbwimih9sz6_8" Type="http://schemas.openxmlformats.org/officeDocument/2006/relationships/hyperlink" Target="https://dalil.kg/document/1644" TargetMode="External"/><Relationship Id="rIdofzznk8g1v1mtuviaovba" Type="http://schemas.openxmlformats.org/officeDocument/2006/relationships/hyperlink" Target="https://dalil.kg/document/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ulzjcvzej834cljftkb2" Type="http://schemas.openxmlformats.org/officeDocument/2006/relationships/hyperlink" Target="https://dalil.kg/document/230044800" TargetMode="External"/><Relationship Id="rIdx_eggh1_kdmzfalhbx5c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2026-09-26T03:57:31.304Z</dcterms:created>
  <dcterms:modified xsi:type="dcterms:W3CDTF">2026-09-26T03:57:31.304Z</dcterms:modified>
</cp:coreProperties>
</file>

<file path=docProps/custom.xml><?xml version="1.0" encoding="utf-8"?>
<Properties xmlns="http://schemas.openxmlformats.org/officeDocument/2006/custom-properties" xmlns:vt="http://schemas.openxmlformats.org/officeDocument/2006/docPropsVTypes"/>
</file>