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города Бишкек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плановый период 2027–2028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Бюджетным </w:t>
      </w:r>
      <w:hyperlink w:history="1" r:id="rIdp_9ca1km0inspf6vokv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основные параметры бюджета города Бишкек на 2026 год по доходам и расходам в сумме 32 873 616,8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плановые параметры местного бюджета города Бишкек на 2027-2028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доходам и расходам на 2027 год - в сумме 36 288 510,8 тыс. сомов, на 2028 год - в сумме 40 354 585,8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параметры бюджета города, одобренные на 2027-2028 годы, подлежат уточнению при их принятии на каждый конкретный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доходная часть бюджета города Бишкек на 2026 год и планового периода 2027–2028 годов формируется за счет поступлений из источников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средства на финансирование расходов из бюджета города Бишкек на 2026 год и планового периода 2027–2028 годов предусматриваются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2026 год производится в пределах фактически полученных доходов. При этом, в первую очередь производится финансирование расходов по защищенным статьям (заработная плата, взносы в Социальный фонд Кыргызской Республики, медикаменты, питание, пособия по социальной помощи населению).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 расходы, недофинансированные в 2025 году, компенсируются за счет и в пределах ассигнований, предусмотренных бюджетом города Бишкек на 2026 год, за счет свободных остатков на начало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Запретить бюджетным организациям и учреждениям использовать специальные средства, минуя систему казначейства. При нарушении указанного порядка 100 % специальных средств изымаются в доход соответствующего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бюджета города Бишкек, использованные бюджетными учреждениями и муниципальными предприятиями не по целевому назначению, подлежат взысканию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Изменения бюджетных параметров, утвержденных настоящим постановлением, до принятия соответствующих поправок к нему, при необходимости, могут исполняться по согласованию с постоянной комиссией Бишкекского городского кенеша по экономике, бюджету, финансам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 для учреждений, финансируемых из бюджета города Бишкек, на 2026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</w:t>
      </w:r>
      <w:r>
        <w:rPr>
          <w:rFonts w:ascii="Arial" w:cs="Arial" w:eastAsia="Arial" w:hAnsi="Arial"/>
          <w:sz w:val="24"/>
          <w:szCs w:val="24"/>
        </w:rPr>
        <w:t xml:space="preserve">ежемесячные надбавки к заработной плате заведующим хозяйством общеобразовательных школ – до 2800 сомов из расчета на 1 штатную единицу в зависимости от количества учащихся (до 100 учащихся – 450 сомов, от 100 до 600 – 1000 сомов, от 600 до 1200 – 1600 сомов, от 1200 до 1800 – 2200 сомов, свыше 1800 – 2800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ежемесячные надбавки молодым специалистам детских музыкальных школ - по 500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ежемесячные надбавки к заработной плате руководителям по допризывной подготовке в общеобразовательных организациях – по 6000 сомов из расчета на одного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 ежемесячные надбавки к заработной плате работникам Социального стационарного учреждения для пожилых и лиц с инвалидностью «Үмүт үйү» Департамента социального развития мэрии города Бишкек, Реабилитационного центра для лиц с инвалидностью «Аяр», муниципального учреждения «Коломто» и Геронтологического центра «Ардагер» города Бишкек, Центра помощи детям, пострадавшим от насилия и жестокого обращения, муниципального учреждения «Социальное общежитие» при Департаменте социального развития мэрии города Бишкек, муниципального учреждения «Центр помощи женщинам с детьми, пострадавшим от семейного насилия «Аялзат» – по 1 650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 ежемесячные надбавки к заработной плате социальным работникам Департамента социального развития мэрии города Бишкек – по 7 000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 ежемесячные надбавки к заработной плате работникам духового, симфонического оркестра, оркестра народных инструментов, ансамблей «Семетей», «Доор», «Сувенир», фольклорного ансамбля «Кыргыз-Руху», ансамбля комузистов «Акак», библиотекарям, музейным работникам и работникам домов культуры Управления культуры мэрии города Бишкек, Исторического музея муниципального территориального управления села Чон-Арык Ленинского административного района, основного и инженерно-технического персонала Бишкекского городского драматического театра – по 5000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 ежемесячные надбавки к заработной плате работникам службы хранения материалов – по 2000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 ежемесячные надбавки к заработной плате младшему обслуживающему, техническому и военно-учетному персоналу районных военных комиссариатов – по 500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 ежемесячные надбавки к заработной плате другим работникам организаций образования, социальной защиты, культуры, спорта, туризма и работы с молодежью – по 1000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 </w:t>
      </w:r>
      <w:r>
        <w:rPr>
          <w:rFonts w:ascii="Arial" w:cs="Arial" w:eastAsia="Arial" w:hAnsi="Arial"/>
          <w:sz w:val="24"/>
          <w:szCs w:val="24"/>
        </w:rPr>
        <w:t xml:space="preserve"> ежемесячные надбавки к заработной плате работникам Детской молочной кухни Департамента социального развития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среднему и прочему персоналу – из расчета 1000 сомов на одну ставку, но не более 1000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персоналу – из расчета 1500 сомов на одну ставку, но не более 1500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медицинскому персоналу – из расчета 1500 сомов на одну ставку, но не более 1500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водителям специализированных транспортных средств Детской молочной кухни Департамента социального развития мэрии города Бишкек для перевозки детской молочной продукции - из расчета 2000 сомов на одну ставку, но не более 2000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ежемесячные надбавки к заработной плате работникам Бишкекской городской дезинфекционной станции по профилактической дезинфекции при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среднему и прочему персоналу - из расчета 1000 сомов на одну ставку, но не более 1000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персоналу - из расчета 1500 сомов на одну ставку, но не более 1500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ежемесячные надбавки к заработной плате методистам медико-педагогической комиссии Департамента образования мэрии города Бишкек – по 1500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ежемесячные надбавки из местного бюджета в размере 100 % к должностному окладу муниципальным служащим центрального аппарата мэрии города Бишкек, Бишкекского городского кенеша, муниципальных администраций мэрии города Бишкек по административным районам и муниципальным служащим подведомственных и территориальных подразделений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ежемесячные стимулирующие выплаты из местного бюджета в размере 200% к должностному окладу работникам младшего обслуживающего и технического персонала, занятого обслуживанием центрального аппарата мэрии города Бишкек, Бишкекского городского кенеша, муниципальных администраций мэрии города Бишкек по административным районам, подведомственных и территориальных подразделений мэрии города Бишкек, а также работникам централизованной бухгалтерии Управления культуры мэрии города Бишкек и районных центров образования, за исключением главных бухгалтеров: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муниципальных администраций мэрии города Бишкек по административным районам и подведомственных подразделений мэрии города Бишкек, которым ежемесячные стимулирующие выплаты из местного бюджета увеличиваются на 170%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муниципальных территориальных управлений, районных управлений социального развития, которым ежемесячные стимулирующие выплаты из местного бюджета увеличиваются на 150%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премию по итогам деятельности за полугодие и год работникам младшего обслуживающего и технического персонала, занятого обслуживанием центрального аппарата мэрии города Бишкек, Бишкекского городского кенеша, муниципальных администраций мэрии города Бишкек по административным районам, подведомственных и территориальных подразделений мэрии города Бишкек (в течение года на премирование направляются средства в размере двухмесячного фонда заработной 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Установить для младшего обслуживающего и технического персонала, занятого обслуживанием органов местного самоуправления, работников централизованных бухгалтерий Управления культуры мэрии города Бишкек, районных центров образования следующие компенсационные суммы, которые не учитываются при расчетах отпускных, пособий и выплачиваются за фактически отработанное время (исключаются командировочные, отпускные дни, дни временной нетрудоспособности, дни работы в выходные):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</w:t>
      </w:r>
      <w:r>
        <w:rPr>
          <w:rFonts w:ascii="Arial" w:cs="Arial" w:eastAsia="Arial" w:hAnsi="Arial"/>
          <w:sz w:val="24"/>
          <w:szCs w:val="24"/>
        </w:rPr>
        <w:t xml:space="preserve">за транспортные расходы – в размере 2000 сомов в месяц, за исключением обслуживающего персонала, за которым закреплен служебный или дежурный автомобиль;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</w:t>
      </w:r>
      <w:r>
        <w:rPr>
          <w:rFonts w:ascii="Arial" w:cs="Arial" w:eastAsia="Arial" w:hAnsi="Arial"/>
          <w:sz w:val="24"/>
          <w:szCs w:val="24"/>
        </w:rPr>
        <w:t xml:space="preserve"> за питание – в размере 5000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 нормативы на питание в день за счет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</w:t>
      </w:r>
      <w:r>
        <w:rPr>
          <w:rFonts w:ascii="Arial" w:cs="Arial" w:eastAsia="Arial" w:hAnsi="Arial"/>
          <w:sz w:val="24"/>
          <w:szCs w:val="24"/>
        </w:rPr>
        <w:t xml:space="preserve">в дошкольных образовательных организациях для детей с дефектами умственного и физического развития – 120 сомов, в группах с круглосуточным пребыванием детей – 120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</w:t>
      </w:r>
      <w:r>
        <w:rPr>
          <w:rFonts w:ascii="Arial" w:cs="Arial" w:eastAsia="Arial" w:hAnsi="Arial"/>
          <w:sz w:val="24"/>
          <w:szCs w:val="24"/>
        </w:rPr>
        <w:t xml:space="preserve">в дошкольных образовательных организациях для детей льготных категорий: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-.для детей в возрасте до 3 лет – 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в возрасте от 3 до 7 лет – 60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</w:t>
      </w:r>
      <w:r>
        <w:rPr>
          <w:rFonts w:ascii="Arial" w:cs="Arial" w:eastAsia="Arial" w:hAnsi="Arial"/>
          <w:sz w:val="24"/>
          <w:szCs w:val="24"/>
        </w:rPr>
        <w:t xml:space="preserve">в детском саду для детей, больных туберкулезом – 150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</w:t>
      </w:r>
      <w:r>
        <w:rPr>
          <w:rFonts w:ascii="Arial" w:cs="Arial" w:eastAsia="Arial" w:hAnsi="Arial"/>
          <w:sz w:val="24"/>
          <w:szCs w:val="24"/>
        </w:rPr>
        <w:t xml:space="preserve">в общеобразовательных организациях для детей-сирот и детей из малообеспеченных семей – учащихся 5-7 классов – 22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</w:t>
      </w:r>
      <w:r>
        <w:rPr>
          <w:rFonts w:ascii="Arial" w:cs="Arial" w:eastAsia="Arial" w:hAnsi="Arial"/>
          <w:sz w:val="24"/>
          <w:szCs w:val="24"/>
        </w:rPr>
        <w:t xml:space="preserve">в общеобразовательных организациях для учащихся 1-4 классов – 22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</w:t>
      </w:r>
      <w:r>
        <w:rPr>
          <w:rFonts w:ascii="Arial" w:cs="Arial" w:eastAsia="Arial" w:hAnsi="Arial"/>
          <w:sz w:val="24"/>
          <w:szCs w:val="24"/>
        </w:rPr>
        <w:t xml:space="preserve">в общеобразовательных организациях для учащихся с дефектами умственного и физического развития – 36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 </w:t>
      </w:r>
      <w:r>
        <w:rPr>
          <w:rFonts w:ascii="Arial" w:cs="Arial" w:eastAsia="Arial" w:hAnsi="Arial"/>
          <w:sz w:val="24"/>
          <w:szCs w:val="24"/>
        </w:rPr>
        <w:t xml:space="preserve">в Центре для детей, находящихся в трудной жизненной ситуации «Акниет», в Центре реинтеграции для несовершеннолетних детей «Айданек» и интернатных группах в средней школе–интернате № 71 Октябрьского района и школе интернате-лицее №1 – 220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в Реабилитационном центре для лиц с инвалидностью «Аяр» – 120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 </w:t>
      </w:r>
      <w:r>
        <w:rPr>
          <w:rFonts w:ascii="Arial" w:cs="Arial" w:eastAsia="Arial" w:hAnsi="Arial"/>
          <w:sz w:val="24"/>
          <w:szCs w:val="24"/>
        </w:rPr>
        <w:t xml:space="preserve"> на горячее питание лежачим больным – 120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в Геронтологическом центре «Ардагер» города Бишкек –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  </w:t>
      </w:r>
      <w:r>
        <w:rPr>
          <w:rFonts w:ascii="Arial" w:cs="Arial" w:eastAsia="Arial" w:hAnsi="Arial"/>
          <w:sz w:val="24"/>
          <w:szCs w:val="24"/>
        </w:rPr>
        <w:t xml:space="preserve">в муниципальном учреждении «Центр помощи женщинам с детьми, пострадавшим от семейного насилия «Аялзат» –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на питание для лиц без определенного места жительства – 70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на питание детей из малообеспеченных семей, находящихся в пришкольных лагерях – 145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 нормативы на медикаменты в день за счет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  </w:t>
      </w:r>
      <w:r>
        <w:rPr>
          <w:rFonts w:ascii="Arial" w:cs="Arial" w:eastAsia="Arial" w:hAnsi="Arial"/>
          <w:sz w:val="24"/>
          <w:szCs w:val="24"/>
        </w:rPr>
        <w:t xml:space="preserve">в Центре для детей, находящихся в трудной жизненной ситуации «Акниет», Центре реинтеграции для несовершеннолетних детей «Айданек» – до 12,80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  </w:t>
      </w:r>
      <w:r>
        <w:rPr>
          <w:rFonts w:ascii="Arial" w:cs="Arial" w:eastAsia="Arial" w:hAnsi="Arial"/>
          <w:sz w:val="24"/>
          <w:szCs w:val="24"/>
        </w:rPr>
        <w:t xml:space="preserve"> в Реабилитационном центре для лиц с инвалидностью «Аяр» – до 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  </w:t>
      </w:r>
      <w:r>
        <w:rPr>
          <w:rFonts w:ascii="Arial" w:cs="Arial" w:eastAsia="Arial" w:hAnsi="Arial"/>
          <w:sz w:val="24"/>
          <w:szCs w:val="24"/>
        </w:rPr>
        <w:t xml:space="preserve">в муниципальном учреждении «Центр помощи женщинам с детьми, пострадавшим от семейного насилия «Аялзат», Геронтологическом центре «Ардагер» города Бишкек – 12,50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  </w:t>
      </w:r>
      <w:r>
        <w:rPr>
          <w:rFonts w:ascii="Arial" w:cs="Arial" w:eastAsia="Arial" w:hAnsi="Arial"/>
          <w:sz w:val="24"/>
          <w:szCs w:val="24"/>
        </w:rPr>
        <w:t xml:space="preserve">для лиц без определенного места жительства – до 12,50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Утвердить на 2026 год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  </w:t>
      </w:r>
      <w:r>
        <w:rPr>
          <w:rFonts w:ascii="Arial" w:cs="Arial" w:eastAsia="Arial" w:hAnsi="Arial"/>
          <w:sz w:val="24"/>
          <w:szCs w:val="24"/>
        </w:rPr>
        <w:t xml:space="preserve">на содержание муниципального учреждения «Центр помощи женщинам с детьми, пострадавшим от семейного насилия – «Аялзат»;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  </w:t>
      </w:r>
      <w:r>
        <w:rPr>
          <w:rFonts w:ascii="Arial" w:cs="Arial" w:eastAsia="Arial" w:hAnsi="Arial"/>
          <w:sz w:val="24"/>
          <w:szCs w:val="24"/>
        </w:rPr>
        <w:t xml:space="preserve">на содержание 70,0 штатных единиц работников Геронтологического центра «Ардагер»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  </w:t>
      </w:r>
      <w:r>
        <w:rPr>
          <w:rFonts w:ascii="Arial" w:cs="Arial" w:eastAsia="Arial" w:hAnsi="Arial"/>
          <w:sz w:val="24"/>
          <w:szCs w:val="24"/>
        </w:rPr>
        <w:t xml:space="preserve">на содержание двух вечерних общеобразовательных школ Ленинского, Октябрьского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  </w:t>
      </w:r>
      <w:r>
        <w:rPr>
          <w:rFonts w:ascii="Arial" w:cs="Arial" w:eastAsia="Arial" w:hAnsi="Arial"/>
          <w:sz w:val="24"/>
          <w:szCs w:val="24"/>
        </w:rPr>
        <w:t xml:space="preserve">на оплату расходов учреждения «Учебно-воспитательный комплекс SOS - Германа Гмайнера города Бишкек», детского сада SOS - Детской деревни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5)  </w:t>
      </w:r>
      <w:r>
        <w:rPr>
          <w:rFonts w:ascii="Arial" w:cs="Arial" w:eastAsia="Arial" w:hAnsi="Arial"/>
          <w:sz w:val="24"/>
          <w:szCs w:val="24"/>
        </w:rPr>
        <w:t xml:space="preserve">на оплату расходов за коммунальные услуги Реабилитационного центра «Оберег», Общественного объединения родителей детей-аутистов «Рука в руке»;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6)  </w:t>
      </w:r>
      <w:r>
        <w:rPr>
          <w:rFonts w:ascii="Arial" w:cs="Arial" w:eastAsia="Arial" w:hAnsi="Arial"/>
          <w:sz w:val="24"/>
          <w:szCs w:val="24"/>
        </w:rPr>
        <w:t xml:space="preserve">на оплату расходов Бишкекского городского и районных Советов ветеранов войны, Вооруженных Сил, правоохранительных органов и тружеников тыла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7)  </w:t>
      </w:r>
      <w:r>
        <w:rPr>
          <w:rFonts w:ascii="Arial" w:cs="Arial" w:eastAsia="Arial" w:hAnsi="Arial"/>
          <w:sz w:val="24"/>
          <w:szCs w:val="24"/>
        </w:rPr>
        <w:t xml:space="preserve">на предоставление стимулирующих (долевых) грантов, направленных на развитие города Бишкек и местных сообществ, а также на создание, развитие, восстановление и реабилитацию объектов городского и территориального значения (социальной, общественной, коммунальной и инженерной инфраструктуры, общей долевой собственности жителей), содействие развитию различных форм самоуправления местного сообщества, повышение их общественной активности и формирование способности самостоятельного решения коммунальных и иных вопросов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оплату льгот на питание детей – получателей ваучера в рамках пилотной апробации ваучерного механизма финансирования услуг дошкольного образования для детей из социально уязвимых слоев населения, малообеспеченных и малоимущих семей, а также проживающих в труднодоступных и высокогорных, отдаленных районах Кыргызской Республики, в размере 120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организацию перевозки детей жилых массивов «Кут», «Дача-Су», «Учкун», «Учкун-2» в Атбашинскую общеобразовательную школу в жилмассиве «Манас» Сокулукского района Чуйской области, жилмассива «Бугу Эне багыш» в общеобразовательную школу Аманат айыльного аймака им. С. Чокморова, жилмассива «Лесхоз» в общеобразовательную школу № 107 села Маевка, жилмассива «Алтын-Казык» в общеобразовательную школу № 86 жилмассива «Калыс-Ордо», жилмассива «Ак-Жар» в общеобразовательную школу № 87 жилмассива «Келечек» и в общеобразовательную школу № 94 жилмассива «Дордой»;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 </w:t>
      </w:r>
      <w:r>
        <w:rPr>
          <w:rFonts w:ascii="Arial" w:cs="Arial" w:eastAsia="Arial" w:hAnsi="Arial"/>
          <w:sz w:val="24"/>
          <w:szCs w:val="24"/>
        </w:rPr>
        <w:t xml:space="preserve">на реализацию Программы «Депозит молодого учителя» в учреждениях образования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 </w:t>
      </w:r>
      <w:r>
        <w:rPr>
          <w:rFonts w:ascii="Arial" w:cs="Arial" w:eastAsia="Arial" w:hAnsi="Arial"/>
          <w:sz w:val="24"/>
          <w:szCs w:val="24"/>
        </w:rPr>
        <w:t xml:space="preserve">на приобретение по 200 литров бензина в месяц для муниципальных территориальных управлений, не имеющих на балансе дежурных (служебных) автомашин;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 </w:t>
      </w:r>
      <w:r>
        <w:rPr>
          <w:rFonts w:ascii="Arial" w:cs="Arial" w:eastAsia="Arial" w:hAnsi="Arial"/>
          <w:sz w:val="24"/>
          <w:szCs w:val="24"/>
        </w:rPr>
        <w:t xml:space="preserve">на содержание водителей грузовых автомашин, находящихся на балансе муниципальных территориальных управлений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 оплату за питание в дошкольных образовательных учреждениях города Бишкек за счет родительских взносов с последующим администрированием на специальном счете: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в возрасте до 3 лет - 100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в возрасте от 3 до 7 лет – 120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оплату на договорной основе для председателей квартальных, домовых комитетов, товариществ собственников жилья, судов аксакалов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Установить оплату на договорной основе членам судов аксакалов по 250 сомов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 должностные оклады работникам Службы хранения материалов мобилизационного резерва мэрии города Бишкек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Установить должностные оклады работникам муниципального учреждения «Пансионат «Алтын-Булак» при Департаменте физической культуры и спорта, туризма и работы с молодежью мэрии города Бишкек, муниципального учреждения «Социальное общежитие» при Департаменте социального развития мэрии города Бишкек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Одобрить структуру бюджетных программ и мер по городу Бишкек на 2026-2028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Разрешить осуществить расходы за счет средств свободных остатков на начало 2026 года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Утвердить направление расходов остатка специальных средств бюджетных учреждений на начало года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возложить персональную ответственность за исполнение доходной части по налоговым и неналоговым поступлениям на первого заместителя мэра города Бишкек, курирующих заместителей мэра, руководителей районных УГНС, УККН и глав административных районов города Бишкек, начальников управления муниципальной собственности центрального аппарата мэрии города Бишкек, соответствующих управлений и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возложить персональную ответственность на курирующего заместителя мэра и руководителей структурных подразделений за неосвоенные средства, предусмотренные на капитальные вложения и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работу с Кабинетом Министров Кыргызской Республики по вопросу передачи финансирования расходов сферы образования города Бишкек из местного бюджета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работу с Министерством просвещения Кыргызской Республики по вопросу передачи на финансирование из республиканского бюджета 2 школ интернатного типа - № 1 и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работу с Министерством труда и социального развития Кыргызской Республики по вопросам осуществления функций выплаты госпособий на территории города Бишкек и вопросам компенсации расходов, связанных с их исполнением, и внести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провести анализ и внести на рассмотрение Бишкекского городского кенеша предложения по дальнейшему развитию и повышению эффективности хозрасчетной деятельности муниципальных предприятий мэрии города Бишкек, ориентированных на достижение самоокупаемости, прибыльности и пополнение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эффективного использования муниципального имущества и качественного оказания услуг горожанам, в целях содержания элементов благоустройства города Бишкек, в срок до 1 июля 2026 года разработать и утвердить положение, регламентирующее порядок формирования, размещения и исполнения муниципального заказа, обеспечивая его соответствие законам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осуществить комплексный функциональный анализ деятельности центрального аппарата, а также всех структурных и подведомственных подразделений и до 1 июля 2026 года представить конкретные предложения, направленные на оптимизацию их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обратить особое внимание в процессе исполнения бюджета города на обращения жителей города, озвученные и предложенные на общественных слушаниях;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внести на согласование проект бюджета города Бишкек на 2027 год в порядке, установленном Бюджетным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разместить настоящее постановление на своем официальном сайте в течение 15 дней после его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принять во внимание замечания и предложения постоянной комиссии Бишкекского городского кенеша по экономике, бюджету, финансам и инвестициям и в кратчайшие сроки принять необходимые меры по их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Установить, что мэр города Бишкек несет ответственность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столицы».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исполнением настоящего постановления возложить на председателя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https://www.gorkenesh.kg/ru/the-rulings-of-the-bgk-mob/29-sozyv/6498-85-ob-utverzhdenii-byudzheta-goroda-bishkek-na-2026-god-i-planovyj-period-2027-2028-godov.html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(Приложения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wbdkwqoaarsoregkt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dalil.kg/document/230045010</w:t>
      </w:r>
    </w:hyperlink>
  </w:p>
  <w:p>
    <w:pPr>
      <w:spacing w:after="0" w:before="40"/>
      <w:jc w:val="center"/>
    </w:pPr>
    <w:hyperlink w:history="1" r:id="rIdvyxyfcorbkrnxrgnswt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9ca1km0inspf6vokvup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wbdkwqoaarsoregkt_p" Type="http://schemas.openxmlformats.org/officeDocument/2006/relationships/hyperlink" Target="https://dalil.kg/document/230045010" TargetMode="External"/><Relationship Id="rIdvyxyfcorbkrnxrgnswt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2026-09-26T07:12:18.631Z</dcterms:created>
  <dcterms:modified xsi:type="dcterms:W3CDTF">2026-09-26T07:12:18.631Z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