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от 23 апреля 2026 года № 278</w:t>
      </w:r>
    </w:p>
    <w:p>
      <w:pPr>
        <w:spacing w:after="120"/>
        <w:jc w:val="center"/>
      </w:pPr>
      <w:r>
        <w:rPr>
          <w:rFonts w:ascii="Arial" w:cs="Arial" w:eastAsia="Arial" w:hAnsi="Arial"/>
          <w:b/>
          <w:bCs/>
          <w:sz w:val="28"/>
          <w:szCs w:val="28"/>
        </w:rPr>
        <w:t xml:space="preserve">О внесении изменений в </w:t>
      </w:r>
      <w:r>
        <w:rPr>
          <w:rFonts w:ascii="Arial" w:cs="Arial" w:eastAsia="Arial" w:hAnsi="Arial"/>
          <w:b/>
          <w:bCs/>
          <w:sz w:val="28"/>
          <w:szCs w:val="28"/>
        </w:rPr>
        <w:t xml:space="preserve">некоторые решения 
 </w:t>
      </w:r>
      <w:r>
        <w:rPr>
          <w:rFonts w:ascii="Arial" w:cs="Arial" w:eastAsia="Arial" w:hAnsi="Arial"/>
          <w:b/>
          <w:bCs/>
          <w:sz w:val="28"/>
          <w:szCs w:val="28"/>
        </w:rPr>
        <w:t xml:space="preserve">Кабинета Министров Кыргызской Республики</w:t>
      </w:r>
      <w:r>
        <w:rPr>
          <w:rFonts w:ascii="Arial" w:cs="Arial" w:eastAsia="Arial" w:hAnsi="Arial"/>
          <w:b/>
          <w:bCs/>
          <w:sz w:val="28"/>
          <w:szCs w:val="28"/>
        </w:rPr>
        <w:t xml:space="preserve"> 
 в сфере налогообложения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требований статей </w:t>
      </w: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110</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146</w:t>
      </w:r>
      <w:r>
        <w:rPr>
          <w:rFonts w:ascii="Arial" w:cs="Arial" w:eastAsia="Arial" w:hAnsi="Arial"/>
          <w:sz w:val="24"/>
          <w:szCs w:val="24"/>
        </w:rPr>
        <w:t xml:space="preserve">, </w:t>
      </w: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459</w:t>
      </w:r>
      <w:r>
        <w:rPr>
          <w:rFonts w:ascii="Arial" w:cs="Arial" w:eastAsia="Arial" w:hAnsi="Arial"/>
          <w:sz w:val="24"/>
          <w:szCs w:val="24"/>
        </w:rPr>
        <w:t xml:space="preserve">, </w:t>
      </w:r>
      <w:r>
        <w:rPr>
          <w:rFonts w:ascii="Arial" w:cs="Arial" w:eastAsia="Arial" w:hAnsi="Arial"/>
          <w:sz w:val="24"/>
          <w:szCs w:val="24"/>
        </w:rPr>
        <w:t xml:space="preserve">469</w:t>
      </w:r>
      <w:r>
        <w:rPr>
          <w:rFonts w:ascii="Arial" w:cs="Arial" w:eastAsia="Arial" w:hAnsi="Arial"/>
          <w:sz w:val="24"/>
          <w:szCs w:val="24"/>
        </w:rPr>
        <w:t xml:space="preserve">, </w:t>
      </w:r>
      <w:r>
        <w:rPr>
          <w:rFonts w:ascii="Arial" w:cs="Arial" w:eastAsia="Arial" w:hAnsi="Arial"/>
          <w:sz w:val="24"/>
          <w:szCs w:val="24"/>
        </w:rPr>
        <w:t xml:space="preserve">470</w:t>
      </w:r>
      <w:r>
        <w:rPr>
          <w:rFonts w:ascii="Arial" w:cs="Arial" w:eastAsia="Arial" w:hAnsi="Arial"/>
          <w:sz w:val="24"/>
          <w:szCs w:val="24"/>
        </w:rPr>
        <w:t xml:space="preserve">, </w:t>
      </w:r>
      <w:r>
        <w:rPr>
          <w:rFonts w:ascii="Arial" w:cs="Arial" w:eastAsia="Arial" w:hAnsi="Arial"/>
          <w:sz w:val="24"/>
          <w:szCs w:val="24"/>
        </w:rPr>
        <w:t xml:space="preserve">474</w:t>
      </w:r>
      <w:r>
        <w:rPr>
          <w:rFonts w:ascii="Arial" w:cs="Arial" w:eastAsia="Arial" w:hAnsi="Arial"/>
          <w:sz w:val="24"/>
          <w:szCs w:val="24"/>
        </w:rPr>
        <w:t xml:space="preserve"> и </w:t>
      </w:r>
      <w:r>
        <w:rPr>
          <w:rFonts w:ascii="Arial" w:cs="Arial" w:eastAsia="Arial" w:hAnsi="Arial"/>
          <w:sz w:val="24"/>
          <w:szCs w:val="24"/>
        </w:rPr>
        <w:t xml:space="preserve">475</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13, 17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t4x4-sjqawux1inpn21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r>
        <w:rPr>
          <w:rFonts w:ascii="Arial" w:cs="Arial" w:eastAsia="Arial" w:hAnsi="Arial"/>
          <w:sz w:val="24"/>
          <w:szCs w:val="24"/>
        </w:rPr>
        <w:t xml:space="preserve">109</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256</w:t>
      </w:r>
      <w:r>
        <w:rPr>
          <w:rFonts w:ascii="Arial" w:cs="Arial" w:eastAsia="Arial" w:hAnsi="Arial"/>
          <w:sz w:val="24"/>
          <w:szCs w:val="24"/>
        </w:rPr>
        <w:t xml:space="preserve"> Налогового кодекса Кыргызской Республики» от 4 марта 2022 года № 106 следующее изменение:</w:t>
      </w:r>
    </w:p>
    <w:p>
      <w:pPr>
        <w:spacing w:after="120"/>
        <w:ind w:firstLine="709"/>
        <w:jc w:val="both"/>
      </w:pPr>
      <w:r>
        <w:rPr>
          <w:rFonts w:ascii="Arial" w:cs="Arial" w:eastAsia="Arial" w:hAnsi="Arial"/>
          <w:sz w:val="24"/>
          <w:szCs w:val="24"/>
        </w:rPr>
        <w:t xml:space="preserve">– </w:t>
      </w:r>
      <w:hyperlink w:history="1" r:id="rIdglzd2eb9hio-fjveqet0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 </w:t>
      </w:r>
      <w:hyperlink w:history="1" r:id="rId_g__g1jqy_actzfe2xafr">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Внести в </w:t>
      </w:r>
      <w:hyperlink w:history="1" r:id="rIdfzc59ik2qahuvmculyfi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r>
        <w:rPr>
          <w:rFonts w:ascii="Arial" w:cs="Arial" w:eastAsia="Arial" w:hAnsi="Arial"/>
          <w:sz w:val="24"/>
          <w:szCs w:val="24"/>
        </w:rPr>
        <w:t xml:space="preserve">статьи 146</w:t>
      </w:r>
      <w:r>
        <w:rPr>
          <w:rFonts w:ascii="Arial" w:cs="Arial" w:eastAsia="Arial" w:hAnsi="Arial"/>
          <w:sz w:val="24"/>
          <w:szCs w:val="24"/>
        </w:rPr>
        <w:t xml:space="preserve"> Налогового кодекса Кыргызской Республики» от 4 июля 2024 года № 363 следующие изменения:</w:t>
      </w:r>
    </w:p>
    <w:p>
      <w:pPr>
        <w:spacing w:after="120"/>
        <w:ind w:firstLine="709"/>
        <w:jc w:val="both"/>
      </w:pPr>
      <w:r>
        <w:rPr>
          <w:rFonts w:ascii="Arial" w:cs="Arial" w:eastAsia="Arial" w:hAnsi="Arial"/>
          <w:sz w:val="24"/>
          <w:szCs w:val="24"/>
        </w:rPr>
        <w:t xml:space="preserve">1) пункт 1 изложить в следующей редакции:</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Утвердить </w:t>
      </w: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 согласно приложению к настоящему постановлению.»;</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предоставления банками, платежными организациями/операторами платежной системы информации органам налоговой службы, утвержденном вышеуказанным постановлением:</w:t>
      </w:r>
    </w:p>
    <w:p>
      <w:pPr>
        <w:spacing w:after="120"/>
        <w:ind w:firstLine="709"/>
        <w:jc w:val="both"/>
      </w:pPr>
      <w:r>
        <w:rPr>
          <w:rFonts w:ascii="Arial" w:cs="Arial" w:eastAsia="Arial" w:hAnsi="Arial"/>
          <w:sz w:val="24"/>
          <w:szCs w:val="24"/>
        </w:rPr>
        <w:t xml:space="preserve">– наименование изложить в следующей редакции:</w:t>
      </w:r>
    </w:p>
    <w:p>
      <w:pPr>
        <w:spacing w:after="120"/>
        <w:ind w:firstLine="709"/>
        <w:jc w:val="both"/>
      </w:pP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w:t>
      </w:r>
    </w:p>
    <w:p>
      <w:pPr>
        <w:spacing w:after="120"/>
        <w:ind w:firstLine="709"/>
        <w:jc w:val="both"/>
      </w:pPr>
      <w:r>
        <w:rPr>
          <w:rFonts w:ascii="Arial" w:cs="Arial" w:eastAsia="Arial" w:hAnsi="Arial"/>
          <w:sz w:val="24"/>
          <w:szCs w:val="24"/>
        </w:rPr>
        <w:t xml:space="preserve">– пункт 1 изложить в следующей редакции:</w:t>
      </w:r>
    </w:p>
    <w:p>
      <w:pPr>
        <w:spacing w:after="120"/>
        <w:ind w:firstLine="709"/>
        <w:jc w:val="both"/>
      </w:pPr>
      <w:r>
        <w:rPr>
          <w:rFonts w:ascii="Arial" w:cs="Arial" w:eastAsia="Arial" w:hAnsi="Arial"/>
          <w:sz w:val="24"/>
          <w:szCs w:val="24"/>
        </w:rPr>
        <w:t xml:space="preserve">«1. Настоящий Порядок определяет порядок обмена информацией между органами налоговой службы и банками, платежными организациями/операторами платежной системы, а также требования к информации, передаваемой сторонами.»;</w:t>
      </w:r>
    </w:p>
    <w:p>
      <w:pPr>
        <w:spacing w:after="120"/>
        <w:ind w:firstLine="709"/>
        <w:jc w:val="both"/>
      </w:pPr>
      <w:r>
        <w:rPr>
          <w:rFonts w:ascii="Arial" w:cs="Arial" w:eastAsia="Arial" w:hAnsi="Arial"/>
          <w:sz w:val="24"/>
          <w:szCs w:val="24"/>
        </w:rPr>
        <w:t xml:space="preserve">– в пунктах 13, 16 слово «трех» заменить словом «пяти»;</w:t>
      </w:r>
    </w:p>
    <w:p>
      <w:pPr>
        <w:spacing w:after="120"/>
        <w:ind w:firstLine="709"/>
        <w:jc w:val="both"/>
      </w:pPr>
      <w:r>
        <w:rPr>
          <w:rFonts w:ascii="Arial" w:cs="Arial" w:eastAsia="Arial" w:hAnsi="Arial"/>
          <w:sz w:val="24"/>
          <w:szCs w:val="24"/>
        </w:rPr>
        <w:t xml:space="preserve">– дополнить пунктами 17</w:t>
      </w:r>
      <w:r>
        <w:rPr>
          <w:rFonts w:ascii="Arial" w:cs="Arial" w:eastAsia="Arial" w:hAnsi="Arial"/>
          <w:sz w:val="24"/>
          <w:szCs w:val="24"/>
        </w:rPr>
        <w:t xml:space="preserve">1</w:t>
      </w:r>
      <w:r>
        <w:rPr>
          <w:rFonts w:ascii="Arial" w:cs="Arial" w:eastAsia="Arial" w:hAnsi="Arial"/>
          <w:sz w:val="24"/>
          <w:szCs w:val="24"/>
        </w:rPr>
        <w:t xml:space="preserve">, 17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Для получения информации об операциях, связанных с международными переводами денежных средств, орган налоговой службы направляет запрос в банк с указанием наименования организации и требуемой информации.</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Банк в течение пяти рабочих дней со дня, следующего за днем поступления запроса органа налоговой службы, обязан предоставить ответ в той форме, в которой был получен запрос, с отражением следующей информации:</w:t>
      </w:r>
    </w:p>
    <w:p>
      <w:pPr>
        <w:spacing w:after="120"/>
        <w:ind w:firstLine="709"/>
        <w:jc w:val="both"/>
      </w:pPr>
      <w:r>
        <w:rPr>
          <w:rFonts w:ascii="Arial" w:cs="Arial" w:eastAsia="Arial" w:hAnsi="Arial"/>
          <w:sz w:val="24"/>
          <w:szCs w:val="24"/>
        </w:rPr>
        <w:t xml:space="preserve">1) период, за который предоставляются сведения;</w:t>
      </w:r>
    </w:p>
    <w:p>
      <w:pPr>
        <w:spacing w:after="120"/>
        <w:ind w:firstLine="709"/>
        <w:jc w:val="both"/>
      </w:pPr>
      <w:r>
        <w:rPr>
          <w:rFonts w:ascii="Arial" w:cs="Arial" w:eastAsia="Arial" w:hAnsi="Arial"/>
          <w:sz w:val="24"/>
          <w:szCs w:val="24"/>
        </w:rPr>
        <w:t xml:space="preserve">2) дата операции; </w:t>
      </w:r>
    </w:p>
    <w:p>
      <w:pPr>
        <w:spacing w:after="120"/>
        <w:ind w:firstLine="709"/>
        <w:jc w:val="both"/>
      </w:pPr>
      <w:r>
        <w:rPr>
          <w:rFonts w:ascii="Arial" w:cs="Arial" w:eastAsia="Arial" w:hAnsi="Arial"/>
          <w:sz w:val="24"/>
          <w:szCs w:val="24"/>
        </w:rPr>
        <w:t xml:space="preserve">3) сумма перевода;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страна регистрации плательщика и страна регистрации получателя (при наличии сведений);</w:t>
      </w:r>
    </w:p>
    <w:p>
      <w:pPr>
        <w:spacing w:after="120"/>
        <w:ind w:firstLine="709"/>
        <w:jc w:val="both"/>
      </w:pPr>
      <w:r>
        <w:rPr>
          <w:rFonts w:ascii="Arial" w:cs="Arial" w:eastAsia="Arial" w:hAnsi="Arial"/>
          <w:sz w:val="24"/>
          <w:szCs w:val="24"/>
        </w:rPr>
        <w:t xml:space="preserve">5) валюта операции; </w:t>
      </w:r>
    </w:p>
    <w:p>
      <w:pPr>
        <w:spacing w:after="120"/>
        <w:ind w:firstLine="709"/>
        <w:jc w:val="both"/>
      </w:pPr>
      <w:r>
        <w:rPr>
          <w:rFonts w:ascii="Arial" w:cs="Arial" w:eastAsia="Arial" w:hAnsi="Arial"/>
          <w:sz w:val="24"/>
          <w:szCs w:val="24"/>
        </w:rPr>
        <w:t xml:space="preserve">6) направление перевода (входящий или исходящий); </w:t>
      </w:r>
    </w:p>
    <w:p>
      <w:pPr>
        <w:spacing w:after="120"/>
        <w:ind w:firstLine="709"/>
        <w:jc w:val="both"/>
      </w:pPr>
      <w:r>
        <w:rPr>
          <w:rFonts w:ascii="Arial" w:cs="Arial" w:eastAsia="Arial" w:hAnsi="Arial"/>
          <w:sz w:val="24"/>
          <w:szCs w:val="24"/>
        </w:rPr>
        <w:t xml:space="preserve">7) наименование и реквизиты плательщика; </w:t>
      </w:r>
    </w:p>
    <w:p>
      <w:pPr>
        <w:spacing w:after="120"/>
        <w:ind w:firstLine="709"/>
        <w:jc w:val="both"/>
      </w:pPr>
      <w:r>
        <w:rPr>
          <w:rFonts w:ascii="Arial" w:cs="Arial" w:eastAsia="Arial" w:hAnsi="Arial"/>
          <w:sz w:val="24"/>
          <w:szCs w:val="24"/>
        </w:rPr>
        <w:t xml:space="preserve">8) наименование и реквизиты получателя; </w:t>
      </w:r>
    </w:p>
    <w:p>
      <w:pPr>
        <w:spacing w:after="120"/>
        <w:ind w:firstLine="709"/>
        <w:jc w:val="both"/>
      </w:pPr>
      <w:r>
        <w:rPr>
          <w:rFonts w:ascii="Arial" w:cs="Arial" w:eastAsia="Arial" w:hAnsi="Arial"/>
          <w:sz w:val="24"/>
          <w:szCs w:val="24"/>
        </w:rPr>
        <w:t xml:space="preserve">9) наименование платежной системы либо иного механизма перевода;</w:t>
      </w:r>
    </w:p>
    <w:p>
      <w:pPr>
        <w:spacing w:after="120"/>
        <w:ind w:firstLine="709"/>
        <w:jc w:val="both"/>
      </w:pPr>
      <w:r>
        <w:rPr>
          <w:rFonts w:ascii="Arial" w:cs="Arial" w:eastAsia="Arial" w:hAnsi="Arial"/>
          <w:sz w:val="24"/>
          <w:szCs w:val="24"/>
        </w:rPr>
        <w:t xml:space="preserve">10) назначение платежа (при наличии), а также сводные (агрегированные) показатели по указанным операциям за тот же период;</w:t>
      </w:r>
    </w:p>
    <w:p>
      <w:pPr>
        <w:spacing w:after="120"/>
        <w:ind w:firstLine="709"/>
        <w:jc w:val="both"/>
      </w:pPr>
      <w:r>
        <w:rPr>
          <w:rFonts w:ascii="Arial" w:cs="Arial" w:eastAsia="Arial" w:hAnsi="Arial"/>
          <w:sz w:val="24"/>
          <w:szCs w:val="24"/>
        </w:rPr>
        <w:t xml:space="preserve">11) общее количество входящих операций; </w:t>
      </w:r>
    </w:p>
    <w:p>
      <w:pPr>
        <w:spacing w:after="120"/>
        <w:ind w:firstLine="709"/>
        <w:jc w:val="both"/>
      </w:pPr>
      <w:r>
        <w:rPr>
          <w:rFonts w:ascii="Arial" w:cs="Arial" w:eastAsia="Arial" w:hAnsi="Arial"/>
          <w:sz w:val="24"/>
          <w:szCs w:val="24"/>
        </w:rPr>
        <w:t xml:space="preserve">12) общее количество исходящих операций; </w:t>
      </w:r>
    </w:p>
    <w:p>
      <w:pPr>
        <w:spacing w:after="120"/>
        <w:ind w:firstLine="709"/>
        <w:jc w:val="both"/>
      </w:pPr>
      <w:r>
        <w:rPr>
          <w:rFonts w:ascii="Arial" w:cs="Arial" w:eastAsia="Arial" w:hAnsi="Arial"/>
          <w:sz w:val="24"/>
          <w:szCs w:val="24"/>
        </w:rPr>
        <w:t xml:space="preserve">13) общая сумма входящих переводов с указанием валюты (по каждой валюте, в которой были переводы); </w:t>
      </w:r>
    </w:p>
    <w:p>
      <w:pPr>
        <w:spacing w:after="120"/>
        <w:ind w:firstLine="709"/>
        <w:jc w:val="both"/>
      </w:pPr>
      <w:r>
        <w:rPr>
          <w:rFonts w:ascii="Arial" w:cs="Arial" w:eastAsia="Arial" w:hAnsi="Arial"/>
          <w:sz w:val="24"/>
          <w:szCs w:val="24"/>
        </w:rPr>
        <w:t xml:space="preserve">14) общая сумма исходящих переводов с указанием валюты (по каждой валюте, в которой были переводы)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дополнить главой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«Глава 7</w:t>
      </w:r>
      <w:r>
        <w:rPr>
          <w:rFonts w:ascii="Arial" w:cs="Arial" w:eastAsia="Arial" w:hAnsi="Arial"/>
          <w:sz w:val="24"/>
          <w:szCs w:val="24"/>
        </w:rPr>
        <w:t xml:space="preserve">2</w:t>
      </w:r>
      <w:r>
        <w:rPr>
          <w:rFonts w:ascii="Arial" w:cs="Arial" w:eastAsia="Arial" w:hAnsi="Arial"/>
          <w:sz w:val="24"/>
          <w:szCs w:val="24"/>
        </w:rPr>
        <w:t xml:space="preserve">. Сервис проверки регистрации налогоплательщиков по налогу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4</w:t>
      </w:r>
      <w:r>
        <w:rPr>
          <w:rFonts w:ascii="Arial" w:cs="Arial" w:eastAsia="Arial" w:hAnsi="Arial"/>
          <w:sz w:val="24"/>
          <w:szCs w:val="24"/>
        </w:rPr>
        <w:t xml:space="preserve">. Уполномоченный налоговый орган обеспечивает обмен информацией с банками о налогоплательщиках налога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5</w:t>
      </w:r>
      <w:r>
        <w:rPr>
          <w:rFonts w:ascii="Arial" w:cs="Arial" w:eastAsia="Arial" w:hAnsi="Arial"/>
          <w:sz w:val="24"/>
          <w:szCs w:val="24"/>
        </w:rPr>
        <w:t xml:space="preserve">. В целях проверки регистрации налогоплательщиков, по которым банк выступает налоговым агентом, банк использует электронный сервис, предоставляемый уполномоченным налоговым органом.»;</w:t>
      </w:r>
    </w:p>
    <w:p>
      <w:pPr>
        <w:spacing w:after="120"/>
        <w:ind w:firstLine="709"/>
        <w:jc w:val="both"/>
      </w:pPr>
      <w:r>
        <w:rPr>
          <w:rFonts w:ascii="Arial" w:cs="Arial" w:eastAsia="Arial" w:hAnsi="Arial"/>
          <w:sz w:val="24"/>
          <w:szCs w:val="24"/>
        </w:rPr>
        <w:t xml:space="preserve">– в пункте 26 слова «по предоставлению информации» заменить словами «по обмену информацией».</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Настоящее постановление вступает в силу по истечении десяти дней со дня официального опубликования, за исключением пункта 2, который вступает в силу с 1 февраля 2026 года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Опубликован в газете "Эркин Тоо" от 28 апреля 2026 года № 32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hyperlink w:history="1" r:id="rIdwrzxhf3hdvoc189rha_-3">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24"/>
          <w:szCs w:val="24"/>
        </w:rPr>
        <w:t xml:space="preserve">о порядке налоговой регистрации налогоплательщиков </w:t>
      </w:r>
    </w:p>
    <w:p>
      <w:pPr>
        <w:spacing w:after="240" w:before="200"/>
        <w:jc w:val="center"/>
      </w:pPr>
      <w:r>
        <w:rPr>
          <w:rFonts w:ascii="Arial" w:cs="Arial" w:eastAsia="Arial" w:hAnsi="Arial"/>
          <w:b/>
          <w:bCs/>
          <w:sz w:val="24"/>
          <w:szCs w:val="24"/>
        </w:rPr>
        <w:t xml:space="preserve">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(далее – Положение) 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5) отсутствия ликвидационных отчетов по налогам и страховым взносам, единой налоговой декларации,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6. Заявление о налоговой и/или учетной регистрации, перерегистрации или аннулировании регистрации налогоплательщика подается в налоговый орган в виде бумажного документа при очном посещении налогового органа или в виде цифрового документа через информационную систему уполномоченного налогового органа по форме, утвержденной уполномоченным налоговым органом.</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Идентификационный налоговый номер налогоплательщика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 Для налогоплательщика, не указанного в пункте 8 настоящего Положения, автоматическое формирование (генерирование) ИНН производится в соответствии со структурой ИНН согласно приложению к настоящему Положению.</w:t>
      </w:r>
    </w:p>
    <w:p>
      <w:pPr>
        <w:spacing w:after="120"/>
        <w:ind w:firstLine="709"/>
        <w:jc w:val="both"/>
      </w:pPr>
      <w:r>
        <w:rPr>
          <w:rFonts w:ascii="Arial" w:cs="Arial" w:eastAsia="Arial" w:hAnsi="Arial"/>
          <w:sz w:val="24"/>
          <w:szCs w:val="24"/>
        </w:rPr>
        <w:t xml:space="preserve">10.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11.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12.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13.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налоговой регистрации налогоплательщика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15.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p>
    <w:p>
      <w:pPr>
        <w:spacing w:after="120"/>
        <w:ind w:firstLine="709"/>
        <w:jc w:val="both"/>
      </w:pPr>
      <w:r>
        <w:rPr>
          <w:rFonts w:ascii="Arial" w:cs="Arial" w:eastAsia="Arial" w:hAnsi="Arial"/>
          <w:sz w:val="24"/>
          <w:szCs w:val="24"/>
        </w:rPr>
        <w:t xml:space="preserve">2) информации, полученной органами налоговой службы из автоматизированной информационной системы органов государственной регистрации, указанной в статьях </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16. Регистрация налогоплательщика на основании подпункта 3 пункта 15 настоящего Положения производится налоговым органом в принудительном порядке на упрощенную систему налогообложения на основе единого налога (далее – единый налог). </w:t>
      </w:r>
    </w:p>
    <w:p>
      <w:pPr>
        <w:spacing w:after="120"/>
        <w:ind w:firstLine="709"/>
        <w:jc w:val="both"/>
      </w:pPr>
      <w:r>
        <w:rPr>
          <w:rFonts w:ascii="Arial" w:cs="Arial" w:eastAsia="Arial" w:hAnsi="Arial"/>
          <w:sz w:val="24"/>
          <w:szCs w:val="24"/>
        </w:rPr>
        <w:t xml:space="preserve">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709"/>
        <w:jc w:val="both"/>
      </w:pPr>
      <w:r>
        <w:rPr>
          <w:rFonts w:ascii="Arial" w:cs="Arial" w:eastAsia="Arial" w:hAnsi="Arial"/>
          <w:sz w:val="24"/>
          <w:szCs w:val="24"/>
        </w:rPr>
        <w:t xml:space="preserve">При невозможности применения режима на основе единого налога регистрация осуществляется на общий налоговый режим.</w:t>
      </w:r>
    </w:p>
    <w:p>
      <w:pPr>
        <w:spacing w:after="120"/>
        <w:ind w:firstLine="709"/>
        <w:jc w:val="both"/>
      </w:pPr>
      <w:r>
        <w:rPr>
          <w:rFonts w:ascii="Arial" w:cs="Arial" w:eastAsia="Arial" w:hAnsi="Arial"/>
          <w:sz w:val="24"/>
          <w:szCs w:val="24"/>
        </w:rPr>
        <w:t xml:space="preserve">17. Заявление физического лица о государственной регистрации в качестве индивидуального предпринимателя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цифровых документов с применением цифровой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18.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 Положением.</w:t>
      </w:r>
    </w:p>
    <w:p>
      <w:pPr>
        <w:spacing w:after="120"/>
        <w:ind w:firstLine="709"/>
        <w:jc w:val="both"/>
      </w:pPr>
      <w:r>
        <w:rPr>
          <w:rFonts w:ascii="Arial" w:cs="Arial" w:eastAsia="Arial" w:hAnsi="Arial"/>
          <w:sz w:val="24"/>
          <w:szCs w:val="24"/>
        </w:rPr>
        <w:t xml:space="preserve">19.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 При налоговой регистрации субъекту, за исключением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для осуществления деятельности по режиму налога на транзакцию,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21. Данные адреса регистрационного учета, сведения о месте жительства,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Налогоплательщик обязан самостоятельно указывать в личном кабинете налогоплательщика актуальные сведения об адресе места осуществления предпринимательской деятельности (в том числе собственного объекта, обособленного подразделения либо арендованного недвижимого имущества).</w:t>
      </w:r>
    </w:p>
    <w:p>
      <w:pPr>
        <w:spacing w:after="120"/>
        <w:ind w:firstLine="709"/>
        <w:jc w:val="both"/>
      </w:pPr>
      <w:r>
        <w:rPr>
          <w:rFonts w:ascii="Arial" w:cs="Arial" w:eastAsia="Arial" w:hAnsi="Arial"/>
          <w:sz w:val="24"/>
          <w:szCs w:val="24"/>
        </w:rPr>
        <w:t xml:space="preserve">22. Регистрация иностранной организации, оказывающей услуги в цифровой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23.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 подлежит налоговой регистрации без прохождения государственной регистрации. </w:t>
      </w:r>
    </w:p>
    <w:p>
      <w:pPr>
        <w:spacing w:after="120"/>
        <w:ind w:firstLine="709"/>
        <w:jc w:val="both"/>
      </w:pPr>
      <w:r>
        <w:rPr>
          <w:rFonts w:ascii="Arial" w:cs="Arial" w:eastAsia="Arial" w:hAnsi="Arial"/>
          <w:sz w:val="24"/>
          <w:szCs w:val="24"/>
        </w:rPr>
        <w:t xml:space="preserve">Регистрация указанной организации производится в целях налогообложения транзакций. Уполномоченный банк, в котором указанной организацией открыт счет, признается налоговым агентом по налогу на транзакцию и обязан производить удержание и перечисление налога, а также предоставлять налоговую отчетность по форме, утвержденной уполномоченным налоговым органом. </w:t>
      </w:r>
    </w:p>
    <w:p>
      <w:pPr>
        <w:spacing w:after="120"/>
        <w:ind w:firstLine="709"/>
        <w:jc w:val="both"/>
      </w:pPr>
      <w:r>
        <w:rPr>
          <w:rFonts w:ascii="Arial" w:cs="Arial" w:eastAsia="Arial" w:hAnsi="Arial"/>
          <w:sz w:val="24"/>
          <w:szCs w:val="24"/>
        </w:rPr>
        <w:t xml:space="preserve">24. Иностранный гражданин, до получения в установленном законодательством Кыргызской Республики в сфере внешней миграции порядке разрешения на пребывание на территории Кыргызской Республики сроком не менее одного года для осуществления индивидуальной предпринимательской деятельности, вправе пройти регистрацию в качестве индивидуального предпринимателя исключительно на основе патента либо налога на деятельность в зоне торговли с особым режимом. </w:t>
      </w:r>
    </w:p>
    <w:p>
      <w:pPr>
        <w:spacing w:after="120"/>
        <w:ind w:firstLine="709"/>
        <w:jc w:val="both"/>
      </w:pPr>
      <w:r>
        <w:rPr>
          <w:rFonts w:ascii="Arial" w:cs="Arial" w:eastAsia="Arial" w:hAnsi="Arial"/>
          <w:sz w:val="24"/>
          <w:szCs w:val="24"/>
        </w:rPr>
        <w:t xml:space="preserve">Регистрация иностранного гражданина в качестве индивидуального предпринимателя по иным налоговым режимам допускается только после получения указанного разрешения на пребывание. </w:t>
      </w:r>
    </w:p>
    <w:p>
      <w:pPr>
        <w:spacing w:after="120"/>
        <w:ind w:firstLine="709"/>
        <w:jc w:val="both"/>
      </w:pPr>
      <w:r>
        <w:rPr>
          <w:rFonts w:ascii="Arial" w:cs="Arial" w:eastAsia="Arial" w:hAnsi="Arial"/>
          <w:sz w:val="24"/>
          <w:szCs w:val="24"/>
        </w:rPr>
        <w:t xml:space="preserve">Для целей настоящего пункта под разрешением на пребывание понимается документ, выдаваемый уполномоченным государственным органом в сфере миграции и подтверждающий право иностранного гражданина на временное пребывание в Кыргызской Республике сроком не менее одного года для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24"/>
          <w:szCs w:val="24"/>
        </w:rPr>
        <w:t xml:space="preserve">Глава 4. Налоговая перерегистрация налогоплательщика</w:t>
      </w:r>
    </w:p>
    <w:p>
      <w:pPr>
        <w:spacing w:after="120"/>
        <w:ind w:firstLine="709"/>
        <w:jc w:val="both"/>
      </w:pPr>
      <w:r>
        <w:rPr>
          <w:rFonts w:ascii="Arial" w:cs="Arial" w:eastAsia="Arial" w:hAnsi="Arial"/>
          <w:sz w:val="24"/>
          <w:szCs w:val="24"/>
        </w:rPr>
        <w:t xml:space="preserve">25.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26.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p>
    <w:p>
      <w:pPr>
        <w:spacing w:after="120"/>
        <w:ind w:firstLine="709"/>
        <w:jc w:val="both"/>
      </w:pPr>
      <w:r>
        <w:rPr>
          <w:rFonts w:ascii="Arial" w:cs="Arial" w:eastAsia="Arial" w:hAnsi="Arial"/>
          <w:sz w:val="24"/>
          <w:szCs w:val="24"/>
        </w:rPr>
        <w:t xml:space="preserve">27. Заявление физического лица или индивидуального предпринимателя о налоговой перерегистрации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28. Налоговая перерегистрация на основании подпункта 1 пункта 25 настоящего Положения производится на основании цифрового уведомления от органа юстиции.</w:t>
      </w:r>
    </w:p>
    <w:p>
      <w:pPr>
        <w:spacing w:after="120"/>
        <w:ind w:firstLine="709"/>
        <w:jc w:val="both"/>
      </w:pPr>
      <w:r>
        <w:rPr>
          <w:rFonts w:ascii="Arial" w:cs="Arial" w:eastAsia="Arial" w:hAnsi="Arial"/>
          <w:sz w:val="24"/>
          <w:szCs w:val="24"/>
        </w:rPr>
        <w:t xml:space="preserve">29. 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цифрового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30. В случае подачи налогоплательщиком заявления либо поступления уведомления органов юстиции о налоговой перерегистрации в связи с изменением места налоговой регистрации (переход из одного района/города в другой), налоговый орган по текущему месту налогового учета отказывает в осуществлении налоговой перерегистрации при наличии следующих обстоятельств:</w:t>
      </w:r>
    </w:p>
    <w:p>
      <w:pPr>
        <w:spacing w:after="120"/>
        <w:ind w:firstLine="709"/>
        <w:jc w:val="both"/>
      </w:pPr>
      <w:r>
        <w:rPr>
          <w:rFonts w:ascii="Arial" w:cs="Arial" w:eastAsia="Arial" w:hAnsi="Arial"/>
          <w:sz w:val="24"/>
          <w:szCs w:val="24"/>
        </w:rPr>
        <w:t xml:space="preserve">1) в отношении налогоплательщика проводится выездная проверка, не завершенная в установленном порядке;</w:t>
      </w:r>
    </w:p>
    <w:p>
      <w:pPr>
        <w:spacing w:after="120"/>
        <w:ind w:firstLine="709"/>
        <w:jc w:val="both"/>
      </w:pPr>
      <w:r>
        <w:rPr>
          <w:rFonts w:ascii="Arial" w:cs="Arial" w:eastAsia="Arial" w:hAnsi="Arial"/>
          <w:sz w:val="24"/>
          <w:szCs w:val="24"/>
        </w:rPr>
        <w:t xml:space="preserve">2) налогоплательщиком не представлены налоговые отчеты по подоходному налогу и по средствам государственного социального страхования за прошедшие налоговые периоды, обязанность по представлению которых предусмотрена статьей 99 Налогового кодекса.</w:t>
      </w:r>
    </w:p>
    <w:p>
      <w:pPr>
        <w:spacing w:after="120"/>
        <w:ind w:firstLine="709"/>
        <w:jc w:val="both"/>
      </w:pPr>
      <w:r>
        <w:rPr>
          <w:rFonts w:ascii="Arial" w:cs="Arial" w:eastAsia="Arial" w:hAnsi="Arial"/>
          <w:sz w:val="24"/>
          <w:szCs w:val="24"/>
        </w:rPr>
        <w:t xml:space="preserve">В случае, если заявление либо уведомление о перерегистрации поступило до наступления установленного срока сдачи отчета за соответствующий отчетный период (до 20 числа месяца, следующего за отчетным месяцем) и указанный отчет не был представлен, налогоплательщик обязан представить соответствующий отчет до осуществления перерегистрации.</w:t>
      </w:r>
    </w:p>
    <w:p>
      <w:pPr>
        <w:spacing w:after="120"/>
        <w:ind w:firstLine="709"/>
        <w:jc w:val="both"/>
      </w:pPr>
      <w:r>
        <w:rPr>
          <w:rFonts w:ascii="Arial" w:cs="Arial" w:eastAsia="Arial" w:hAnsi="Arial"/>
          <w:sz w:val="24"/>
          <w:szCs w:val="24"/>
        </w:rPr>
        <w:t xml:space="preserve">Налоговый орган уведомляет налогоплательщика либо органы юстиции об отказе в осуществлении перерегистрации в сроки, предусмотренные пунктом 32 настоящего Положения.</w:t>
      </w:r>
    </w:p>
    <w:p>
      <w:pPr>
        <w:spacing w:after="120"/>
        <w:ind w:firstLine="709"/>
        <w:jc w:val="both"/>
      </w:pPr>
      <w:r>
        <w:rPr>
          <w:rFonts w:ascii="Arial" w:cs="Arial" w:eastAsia="Arial" w:hAnsi="Arial"/>
          <w:sz w:val="24"/>
          <w:szCs w:val="24"/>
        </w:rPr>
        <w:t xml:space="preserve">31. Перерегистрация иностранной организации, оказывающей услуги в цифровой форме, а также осуществляющей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32. Налоговый орган обязан произвести налоговую перерегистрацию налогоплательщика в срок не позднее 3 рабочих дней, следующих за днем получения:</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соответствующих сведений, представленных органами, указанными в главе 17 Налогового кодекса.</w:t>
      </w:r>
    </w:p>
    <w:p>
      <w:pPr>
        <w:spacing w:after="120"/>
        <w:ind w:firstLine="709"/>
        <w:jc w:val="both"/>
      </w:pPr>
      <w:r>
        <w:rPr>
          <w:rFonts w:ascii="Arial" w:cs="Arial" w:eastAsia="Arial" w:hAnsi="Arial"/>
          <w:sz w:val="24"/>
          <w:szCs w:val="24"/>
        </w:rPr>
        <w:t xml:space="preserve">33.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до начала ведения экономической деятельности.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Место налоговой регистрации/перерегистрации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 для физического лица, не осуществляющего индивидуальную предпринимательскую деятельность, – налоговый орган по месту регистрации (прописки)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35.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36. Местом регистрации для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и осуществляющей деятельность по режиму налога на транзакцию, признается место налоговой регистрации уполномоченного банка Кыргызской Республики, в котором данная организация открывает счет.</w:t>
      </w:r>
    </w:p>
    <w:p>
      <w:pPr>
        <w:spacing w:after="120"/>
        <w:ind w:firstLine="709"/>
        <w:jc w:val="both"/>
      </w:pPr>
      <w:r>
        <w:rPr>
          <w:rFonts w:ascii="Arial" w:cs="Arial" w:eastAsia="Arial" w:hAnsi="Arial"/>
          <w:sz w:val="24"/>
          <w:szCs w:val="24"/>
        </w:rPr>
        <w:t xml:space="preserve">37.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цифровом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39. В случае прохождения физическими лицами, указанными в пунктах 45–47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40.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41.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42. Организации или физические лица-нерезиденты, владеющие в Кыргызской Республике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паспорт либо иной документ, признаваемый законодательством Кыргызской Республики в качестве документа, удостоверяющего личность, а также копию паспорта или указанного документа с нотариально удостоверенным переводом на государственный или официальный язык.</w:t>
      </w:r>
    </w:p>
    <w:p>
      <w:pPr>
        <w:spacing w:after="120"/>
        <w:ind w:firstLine="709"/>
        <w:jc w:val="both"/>
      </w:pPr>
      <w:r>
        <w:rPr>
          <w:rFonts w:ascii="Arial" w:cs="Arial" w:eastAsia="Arial" w:hAnsi="Arial"/>
          <w:sz w:val="24"/>
          <w:szCs w:val="24"/>
        </w:rPr>
        <w:t xml:space="preserve">43. Иностранные организации, оказывающие услуги в цифровой форме, а также осуществляющие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44. Налоговая регистрация иностранной организации, не имеющей постоянного учреждения в Кыргызской Республике и открывающей счет в уполномоченном банке на территории Кыргызской Республики для осуществления деятельности по режиму налога на транзакцию, производится на основании уведомления уполномоченного банка, в котором открывается счет указанной организации.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45.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документ, удостоверяющий личность (паспорт);</w:t>
      </w:r>
    </w:p>
    <w:p>
      <w:pPr>
        <w:spacing w:after="120"/>
        <w:ind w:firstLine="709"/>
        <w:jc w:val="both"/>
      </w:pPr>
      <w:r>
        <w:rPr>
          <w:rFonts w:ascii="Arial" w:cs="Arial" w:eastAsia="Arial" w:hAnsi="Arial"/>
          <w:sz w:val="24"/>
          <w:szCs w:val="24"/>
        </w:rPr>
        <w:t xml:space="preserve">3) паспорт и его копию с нотариально удостоверенным переводом на государственный или официальный язык (для иностранных граждан); </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документ с указанием адреса временного пребывания (для иностранных граждан);</w:t>
      </w:r>
    </w:p>
    <w:p>
      <w:pPr>
        <w:spacing w:after="120"/>
        <w:ind w:firstLine="709"/>
        <w:jc w:val="both"/>
      </w:pPr>
      <w:r>
        <w:rPr>
          <w:rFonts w:ascii="Arial" w:cs="Arial" w:eastAsia="Arial" w:hAnsi="Arial"/>
          <w:sz w:val="24"/>
          <w:szCs w:val="24"/>
        </w:rPr>
        <w:t xml:space="preserve">6) документ, выданный уполномоченным государственным органом в сфере миграции, подтверждающий право иностранного гражданина на временное пребывание в Кыргызской Республике сроком не менее одного года в целях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46. Регистрация физических лиц – граждан Кыргызской Республики осуществляется на основании информации государственных органов, указанных в статье 147 Налогового кодекса, в автоматическом режиме.</w:t>
      </w:r>
    </w:p>
    <w:p>
      <w:pPr>
        <w:spacing w:after="120"/>
        <w:ind w:firstLine="709"/>
        <w:jc w:val="both"/>
      </w:pPr>
      <w:r>
        <w:rPr>
          <w:rFonts w:ascii="Arial" w:cs="Arial" w:eastAsia="Arial" w:hAnsi="Arial"/>
          <w:sz w:val="24"/>
          <w:szCs w:val="24"/>
        </w:rPr>
        <w:t xml:space="preserve">47. 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цифровом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цифровом виде размещается в информационной системе «Кабинет налогоплательщика» (далее –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цифровом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Учетная регистрация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49.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50.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 факта приобретения патента физическим лицом или индивидуальным предпринимателем на соответствующей территории.</w:t>
      </w:r>
    </w:p>
    <w:p>
      <w:pPr>
        <w:spacing w:after="120"/>
        <w:ind w:firstLine="709"/>
        <w:jc w:val="both"/>
      </w:pPr>
      <w:r>
        <w:rPr>
          <w:rFonts w:ascii="Arial" w:cs="Arial" w:eastAsia="Arial" w:hAnsi="Arial"/>
          <w:sz w:val="24"/>
          <w:szCs w:val="24"/>
        </w:rPr>
        <w:t xml:space="preserve">51.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52. Налогоплательщик, за исключением индивидуального предпринимателя или физического лица, осуществляющего деятельность на основе патента,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53. 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54. Учетная регистрация налогоплательщика, осуществляемая на основании заявления налогоплательщика, производится налоговым органом в течение одного рабочего дня, следующего за днем подачи заявления налогоплательщиком.</w:t>
      </w:r>
    </w:p>
    <w:p>
      <w:pPr>
        <w:spacing w:after="120"/>
        <w:ind w:firstLine="709"/>
        <w:jc w:val="both"/>
      </w:pPr>
      <w:r>
        <w:rPr>
          <w:rFonts w:ascii="Arial" w:cs="Arial" w:eastAsia="Arial" w:hAnsi="Arial"/>
          <w:sz w:val="24"/>
          <w:szCs w:val="24"/>
        </w:rPr>
        <w:t xml:space="preserve">55.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56.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57. Запись об учетной регистрации или аннулировании учетной регистрации производится в регистрационной карте налогоплательщика по форме STI-025 и направляется в ИС «Кабинет налогоплательщика».</w:t>
      </w:r>
    </w:p>
    <w:p>
      <w:pPr>
        <w:spacing w:after="120"/>
        <w:ind w:firstLine="709"/>
        <w:jc w:val="both"/>
      </w:pPr>
      <w:r>
        <w:rPr>
          <w:rFonts w:ascii="Arial" w:cs="Arial" w:eastAsia="Arial" w:hAnsi="Arial"/>
          <w:sz w:val="24"/>
          <w:szCs w:val="24"/>
        </w:rPr>
        <w:t xml:space="preserve">58.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физического лица или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Применение и изменение режима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в налоговый орган по месту текущего налогового учета до первого числа первого месяца предстоящего календарного квартала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60. Если иное не установлено настоящим Положением,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первого числа первого месяца календарного квартала, следующего за кварталом, в котором было подано заявление;</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61. Если иное не установлено настоящим Положением, регистрация по упрощенной системе налогообложения на основе единого налога с применением режима условного начисления НДС на импорт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или иных специальных налоговых режимов – со дня подачи заявления о применении режима условного начисления НДС на импорт.</w:t>
      </w:r>
    </w:p>
    <w:p>
      <w:pPr>
        <w:spacing w:after="120"/>
        <w:ind w:firstLine="709"/>
        <w:jc w:val="both"/>
      </w:pPr>
      <w:r>
        <w:rPr>
          <w:rFonts w:ascii="Arial" w:cs="Arial" w:eastAsia="Arial" w:hAnsi="Arial"/>
          <w:sz w:val="24"/>
          <w:szCs w:val="24"/>
        </w:rPr>
        <w:t xml:space="preserve">62. Налогоплательщик, за исключением субъектов, указанных  в подпункте «а» пункта 1 части 1,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Налогоплательщик, указанный в подпункте «а» пункта 1 части 1 и части 8 статьи 423 Налогового кодекса, намеренный осуществлять дополнительные виды деятельности, обязан применять ставки единого налога, указанные в подпункте «б» пункта 1 части 1 и в пункте 3 
  части 1 статьи 423 Налогового кодекса с первого числа месяца, следующего за месяцем, в котором налогоплательщик начал осуществлять дополнительный вид деятельности. </w:t>
      </w:r>
    </w:p>
    <w:p>
      <w:pPr>
        <w:spacing w:after="120"/>
        <w:ind w:firstLine="709"/>
        <w:jc w:val="both"/>
      </w:pPr>
      <w:r>
        <w:rPr>
          <w:rFonts w:ascii="Arial" w:cs="Arial" w:eastAsia="Arial" w:hAnsi="Arial"/>
          <w:sz w:val="24"/>
          <w:szCs w:val="24"/>
        </w:rPr>
        <w:t xml:space="preserve">При этом для дополнительного вида деятельности ставки единого налога, присущие для данного вида деятельности, применяются с даты подачи заявления о начале дополнительной деятельности.</w:t>
      </w:r>
    </w:p>
    <w:p>
      <w:pPr>
        <w:spacing w:after="120"/>
        <w:ind w:firstLine="709"/>
        <w:jc w:val="both"/>
      </w:pPr>
      <w:r>
        <w:rPr>
          <w:rFonts w:ascii="Arial" w:cs="Arial" w:eastAsia="Arial" w:hAnsi="Arial"/>
          <w:sz w:val="24"/>
          <w:szCs w:val="24"/>
        </w:rPr>
        <w:t xml:space="preserve">63.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64.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 если иное не установлено настоящим Положением. </w:t>
      </w:r>
    </w:p>
    <w:p>
      <w:pPr>
        <w:spacing w:after="120"/>
        <w:ind w:firstLine="709"/>
        <w:jc w:val="both"/>
      </w:pPr>
      <w:r>
        <w:rPr>
          <w:rFonts w:ascii="Arial" w:cs="Arial" w:eastAsia="Arial" w:hAnsi="Arial"/>
          <w:sz w:val="24"/>
          <w:szCs w:val="24"/>
        </w:rPr>
        <w:t xml:space="preserve">65.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цифровой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66. Если иное не установлено настоящим Положением,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67. Если иное не установлено настоящим Положением, налогоплательщик, зарегистрированный по одному из специальных налоговых режимов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68.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69.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70.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администрации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71. Юридическое лицо в целях прохождения налоговой перерегистрации в качестве субъекта СЭЗ, кроме заявления, указанного в пункте 26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72. Перерегистрация резидента Парка высоких технологий 
  (далее – ПВТ) осуществляется на основании цифрового уведомления дирекции ПВТ о намерении резидента применять специальный налоговый режим, которое направляется в налоговый орган по месту налоговой регистрации резидента в течение 5 рабочих дней с момента регистрации в качестве резидента ПВТ.</w:t>
      </w:r>
    </w:p>
    <w:p>
      <w:pPr>
        <w:spacing w:after="120"/>
        <w:ind w:firstLine="709"/>
        <w:jc w:val="both"/>
      </w:pPr>
      <w:r>
        <w:rPr>
          <w:rFonts w:ascii="Arial" w:cs="Arial" w:eastAsia="Arial" w:hAnsi="Arial"/>
          <w:sz w:val="24"/>
          <w:szCs w:val="24"/>
        </w:rPr>
        <w:t xml:space="preserve">Перерегистрация по налоговому режиму в ПВТ вступает в силу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лишении статуса резидента ПВТ, за исключением случаев ликвидации юридического лица либо аннулирования налоговой регистрации индивидуального предпринимателя, дирекция ПВТ в течение 3 рабочих дней направляет соответствующее уведомление в налоговый орган по месту налоговой регистрации резидента. При лишении статуса резидента ПВТ налогообложение производится на общих основаниях в соответствии с Налоговым кодексом с момента лишения этого статуса,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73. При интеграции информационных систем дирекций СЭЗ, Парка креативных индустрий (далее – ПКИ) и ПВТ с информационной системой уполномоченного налогового органа предоставление документов, указанных настоящим Положением, не требуется.</w:t>
      </w:r>
    </w:p>
    <w:p>
      <w:pPr>
        <w:spacing w:after="120"/>
        <w:ind w:firstLine="709"/>
        <w:jc w:val="both"/>
      </w:pPr>
      <w:r>
        <w:rPr>
          <w:rFonts w:ascii="Arial" w:cs="Arial" w:eastAsia="Arial" w:hAnsi="Arial"/>
          <w:sz w:val="24"/>
          <w:szCs w:val="24"/>
        </w:rPr>
        <w:t xml:space="preserve">74. Применение резидентом ПКИ ставки, установленной частью 6 статьи 423 Налогового кодекса, осуществляется на основании цифрового уведомления дирекции ПКИ о регистрации лица в качестве резидента ПКИ. Уведомление направляется дирекцией ПКИ в налоговый орган по месту налоговой регистрации резидента в течение 5 рабочих дней со дня регистрации налогоплательщика в качестве резидента ПКИ. </w:t>
      </w:r>
    </w:p>
    <w:p>
      <w:pPr>
        <w:spacing w:after="120"/>
        <w:ind w:firstLine="709"/>
        <w:jc w:val="both"/>
      </w:pPr>
      <w:r>
        <w:rPr>
          <w:rFonts w:ascii="Arial" w:cs="Arial" w:eastAsia="Arial" w:hAnsi="Arial"/>
          <w:sz w:val="24"/>
          <w:szCs w:val="24"/>
        </w:rPr>
        <w:t xml:space="preserve">Перерегистрация резидента для уплаты единого налога по ставкам, установленным частью 6 статьи 423 Налогового кодекса, осуществляется с первого числа месяца, следующего за месяцем получения налоговым органом уведомления дирекции. </w:t>
      </w:r>
    </w:p>
    <w:p>
      <w:pPr>
        <w:spacing w:after="120"/>
        <w:ind w:firstLine="709"/>
        <w:jc w:val="both"/>
      </w:pPr>
      <w:r>
        <w:rPr>
          <w:rFonts w:ascii="Arial" w:cs="Arial" w:eastAsia="Arial" w:hAnsi="Arial"/>
          <w:sz w:val="24"/>
          <w:szCs w:val="24"/>
        </w:rPr>
        <w:t xml:space="preserve">При прекращении статуса резидента ПКИ, за исключением случаев ликвидации юридического лица либо аннулирования налоговой регистрации индивидуального предпринимателя, дирекция ПКИ в течение 3 рабочих дней направляет соответствующее уведомление в налоговый орган по месту налоговой регистрации резидента.</w:t>
      </w:r>
    </w:p>
    <w:p>
      <w:pPr>
        <w:spacing w:after="120"/>
        <w:ind w:firstLine="709"/>
        <w:jc w:val="both"/>
      </w:pPr>
      <w:r>
        <w:rPr>
          <w:rFonts w:ascii="Arial" w:cs="Arial" w:eastAsia="Arial" w:hAnsi="Arial"/>
          <w:sz w:val="24"/>
          <w:szCs w:val="24"/>
        </w:rPr>
        <w:t xml:space="preserve">В случае лишения статуса резидента ПКИ налогоплательщик переходит на</w:t>
      </w:r>
      <w:r>
        <w:rPr>
          <w:rFonts w:ascii="Arial" w:cs="Arial" w:eastAsia="Arial" w:hAnsi="Arial"/>
          <w:sz w:val="24"/>
          <w:szCs w:val="24"/>
        </w:rPr>
        <w:t xml:space="preserve">иные</w:t>
      </w:r>
      <w:r>
        <w:rPr>
          <w:rFonts w:ascii="Arial" w:cs="Arial" w:eastAsia="Arial" w:hAnsi="Arial"/>
          <w:sz w:val="24"/>
          <w:szCs w:val="24"/>
        </w:rPr>
        <w:t xml:space="preserve">ставки единого налога статьи 423 Налогового кодекса с 1 числа месяца, следующего за месяцем лишения статуса резидента.</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75. В случае установления фактов несоблюдения налогоплательщиком условий применения специальных налоговых режимов, указанных в пунктах 72 и 74 настоящего Положения, налоговый орган направляет информацию в соответствующую дирекцию для рассмотрения вопроса о лишении статуса резидента.</w:t>
      </w:r>
    </w:p>
    <w:p>
      <w:pPr>
        <w:spacing w:after="120"/>
        <w:ind w:firstLine="709"/>
        <w:jc w:val="both"/>
      </w:pPr>
      <w:r>
        <w:rPr>
          <w:rFonts w:ascii="Arial" w:cs="Arial" w:eastAsia="Arial" w:hAnsi="Arial"/>
          <w:sz w:val="24"/>
          <w:szCs w:val="24"/>
        </w:rPr>
        <w:t xml:space="preserve">76. Если иное не предусмотрено настоящим положением,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Налогоплательщик подлежит регистрации по НДС:</w:t>
      </w:r>
    </w:p>
    <w:p>
      <w:pPr>
        <w:spacing w:after="120"/>
        <w:ind w:firstLine="709"/>
        <w:jc w:val="both"/>
      </w:pPr>
      <w:r>
        <w:rPr>
          <w:rFonts w:ascii="Arial" w:cs="Arial" w:eastAsia="Arial" w:hAnsi="Arial"/>
          <w:sz w:val="24"/>
          <w:szCs w:val="24"/>
        </w:rPr>
        <w:t xml:space="preserve">1) на дату его налоговой регистрации – при первичной регистрации налогоплательщика на общий налоговый режим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 на основании заявления о налоговой перерегистрации.</w:t>
      </w:r>
    </w:p>
    <w:p>
      <w:pPr>
        <w:spacing w:after="120"/>
        <w:ind w:firstLine="709"/>
        <w:jc w:val="both"/>
      </w:pPr>
      <w:r>
        <w:rPr>
          <w:rFonts w:ascii="Arial" w:cs="Arial" w:eastAsia="Arial" w:hAnsi="Arial"/>
          <w:sz w:val="24"/>
          <w:szCs w:val="24"/>
        </w:rPr>
        <w:t xml:space="preserve">78. Регистрация по НДС субъекта, обязанного зарегистрироваться в соответствии с пунктом 77 настоящего Положения, но не подавшего заявление о регистрации/перерегистрации или подавшего его несвоевременно, осуществляется в течение 3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79.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103 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80. Аннулирование регистрации по НДС вступает в силу:</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w:t>
      </w:r>
    </w:p>
    <w:p>
      <w:pPr>
        <w:spacing w:after="120"/>
        <w:ind w:firstLine="709"/>
        <w:jc w:val="both"/>
      </w:pPr>
      <w:r>
        <w:rPr>
          <w:rFonts w:ascii="Arial" w:cs="Arial" w:eastAsia="Arial" w:hAnsi="Arial"/>
          <w:sz w:val="24"/>
          <w:szCs w:val="24"/>
        </w:rPr>
        <w:t xml:space="preserve">5) со дня вступления в законную силу судебного приказа о принудительной ликвидации организации или вынесения решения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81. В случаях, предусмотренных подпунктами 1, 2 и 4 пункта 79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w:t>
      </w:r>
    </w:p>
    <w:p>
      <w:pPr>
        <w:spacing w:after="120"/>
        <w:ind w:firstLine="709"/>
        <w:jc w:val="both"/>
      </w:pPr>
      <w:r>
        <w:rPr>
          <w:rFonts w:ascii="Arial" w:cs="Arial" w:eastAsia="Arial" w:hAnsi="Arial"/>
          <w:sz w:val="24"/>
          <w:szCs w:val="24"/>
        </w:rPr>
        <w:t xml:space="preserve">82.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83.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Аннулирование 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Аннулирование налоговой регистрации налогоплательщика осуществляется посредством принятия налоговым органом решения об аннулировании налоговой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p>
    <w:p>
      <w:pPr>
        <w:spacing w:after="120"/>
        <w:ind w:firstLine="709"/>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11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5) уведомления уполномоченного банка по форме, утвержденной уполномоченным налоговым органом, о закрытии счета в уполномоченном банке Кыргызской Республики иностранной организации, не имеющей постоянного учреждения в Кыргызской Республике и открывшей счет в уполномоченном банке на территории Кыргызской Республики для осуществления деятельности по режиму налога на транзакцию.</w:t>
      </w:r>
    </w:p>
    <w:p>
      <w:pPr>
        <w:spacing w:after="120"/>
        <w:ind w:firstLine="709"/>
        <w:jc w:val="both"/>
      </w:pPr>
      <w:r>
        <w:rPr>
          <w:rFonts w:ascii="Arial" w:cs="Arial" w:eastAsia="Arial" w:hAnsi="Arial"/>
          <w:sz w:val="24"/>
          <w:szCs w:val="24"/>
        </w:rPr>
        <w:t xml:space="preserve">85. Аннулирование налоговой регистрации осуществляется при условии отсутствия задолженности по налогам, страховым взносам и неналоговым доходам, администрируемым органами налоговой службы, а также учетной регистрации налогоплательщика.</w:t>
      </w:r>
    </w:p>
    <w:p>
      <w:pPr>
        <w:spacing w:after="120"/>
        <w:ind w:firstLine="709"/>
        <w:jc w:val="both"/>
      </w:pPr>
      <w:r>
        <w:rPr>
          <w:rFonts w:ascii="Arial" w:cs="Arial" w:eastAsia="Arial" w:hAnsi="Arial"/>
          <w:sz w:val="24"/>
          <w:szCs w:val="24"/>
        </w:rPr>
        <w:t xml:space="preserve">86.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87. Налоговый орган обязан в течение 20 рабочих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88.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89. Непредставление налоговым органом информации о риске наличия налогового обязательства по истечении 20 рабочих 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90.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91. Аннулирование налоговой регистрации иностранной организации, оказывающей услуги в цифровой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цифрового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92.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93. При регистрации прекращения деятельности индивидуального предпринимателя, не осуществляющего деятельность на основе патента,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p>
    <w:p>
      <w:pPr>
        <w:spacing w:after="120"/>
        <w:ind w:firstLine="709"/>
        <w:jc w:val="both"/>
      </w:pPr>
      <w:r>
        <w:rPr>
          <w:rFonts w:ascii="Arial" w:cs="Arial" w:eastAsia="Arial" w:hAnsi="Arial"/>
          <w:sz w:val="24"/>
          <w:szCs w:val="24"/>
        </w:rPr>
        <w:t xml:space="preserve">2) документ (паспорт), удостоверяющий   личность, и его копию, за исключением случаев обращения через ИС «Кабинет налогоплательщика»; </w:t>
      </w:r>
    </w:p>
    <w:p>
      <w:pPr>
        <w:spacing w:after="120"/>
        <w:ind w:firstLine="709"/>
        <w:jc w:val="both"/>
      </w:pPr>
      <w:r>
        <w:rPr>
          <w:rFonts w:ascii="Arial" w:cs="Arial" w:eastAsia="Arial" w:hAnsi="Arial"/>
          <w:sz w:val="24"/>
          <w:szCs w:val="24"/>
        </w:rPr>
        <w:t xml:space="preserve">3) ликвидационные отчеты по налогам и страховым взносам, единую налоговую декларацию,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94.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 предоставляет документы, указанные в пункте 93, и копию свидетельства о смерти умершего в течение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p>
    <w:p>
      <w:pPr>
        <w:spacing w:after="120"/>
        <w:ind w:firstLine="709"/>
        <w:jc w:val="both"/>
      </w:pPr>
      <w:r>
        <w:rPr>
          <w:rFonts w:ascii="Arial" w:cs="Arial" w:eastAsia="Arial" w:hAnsi="Arial"/>
          <w:sz w:val="24"/>
          <w:szCs w:val="24"/>
        </w:rPr>
        <w:t xml:space="preserve">95. При ликвидации юридического лица и прекращении деятельности индивидуального предпринимателя, за исключением случаев принудительной ликвидации, налогоплательщик обязан обеспечить закрытие всех банковских счетов, открытых на его имя для целей ведения экономической деятельности.</w:t>
      </w:r>
    </w:p>
    <w:p>
      <w:pPr>
        <w:spacing w:after="120"/>
        <w:ind w:firstLine="709"/>
        <w:jc w:val="both"/>
      </w:pPr>
      <w:r>
        <w:rPr>
          <w:rFonts w:ascii="Arial" w:cs="Arial" w:eastAsia="Arial" w:hAnsi="Arial"/>
          <w:sz w:val="24"/>
          <w:szCs w:val="24"/>
        </w:rPr>
        <w:t xml:space="preserve">96.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30 календарных дней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97.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98.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99.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100.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3) неприобретение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709"/>
        <w:jc w:val="both"/>
      </w:pPr>
      <w:r>
        <w:rPr>
          <w:rFonts w:ascii="Arial" w:cs="Arial" w:eastAsia="Arial" w:hAnsi="Arial"/>
          <w:sz w:val="24"/>
          <w:szCs w:val="24"/>
        </w:rPr>
        <w:t xml:space="preserve">101.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102.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и вносит сведения об аннулировании регистрации в Государственный реестр.</w:t>
      </w:r>
    </w:p>
    <w:p>
      <w:pPr>
        <w:spacing w:after="120"/>
        <w:ind w:firstLine="709"/>
        <w:jc w:val="both"/>
      </w:pPr>
      <w:r>
        <w:rPr>
          <w:rFonts w:ascii="Arial" w:cs="Arial" w:eastAsia="Arial" w:hAnsi="Arial"/>
          <w:sz w:val="24"/>
          <w:szCs w:val="24"/>
        </w:rPr>
        <w:t xml:space="preserve">Решение об аннулировании налоговой регистрации индивидуального предпринимателя направляется в ИС «Кабинет налогоплательщика».  </w:t>
      </w:r>
    </w:p>
    <w:p>
      <w:pPr>
        <w:spacing w:after="120"/>
        <w:ind w:firstLine="709"/>
        <w:jc w:val="both"/>
      </w:pPr>
      <w:r>
        <w:rPr>
          <w:rFonts w:ascii="Arial" w:cs="Arial" w:eastAsia="Arial" w:hAnsi="Arial"/>
          <w:sz w:val="24"/>
          <w:szCs w:val="24"/>
        </w:rPr>
        <w:t xml:space="preserve"> Решение хранится в информационной системе уполномоченного налогового органа в виде цифрового документа.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Особенности принудительной ликвидации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В случае отнесения налогоплательщика к категории бездействующих в порядке, установленном уполномоченным налоговым органом, и при отсутствии задолженности по налогам, страховым взносам и неналоговым доходам, администрируемым органами налоговой службы, уполномоченный налоговый орган, по мере формирования списка в информационных системах налоговой службы, размещает перечень бездействующих налогоплательщиков на официальном сайте налоговой службы.</w:t>
      </w:r>
    </w:p>
    <w:p>
      <w:pPr>
        <w:spacing w:after="120"/>
        <w:ind w:firstLine="709"/>
        <w:jc w:val="both"/>
      </w:pPr>
      <w:r>
        <w:rPr>
          <w:rFonts w:ascii="Arial" w:cs="Arial" w:eastAsia="Arial" w:hAnsi="Arial"/>
          <w:sz w:val="24"/>
          <w:szCs w:val="24"/>
        </w:rPr>
        <w:t xml:space="preserve">По истечении 30 календарных дней со дня размещения указанного перечня налоговые органы приступают к процедуре принудительной ликвидации в порядке, установленном уполномоченным налоговым органом, и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104.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 о:</w:t>
      </w:r>
    </w:p>
    <w:p>
      <w:pPr>
        <w:spacing w:after="120"/>
        <w:ind w:firstLine="709"/>
        <w:jc w:val="both"/>
      </w:pPr>
      <w:r>
        <w:rPr>
          <w:rFonts w:ascii="Arial" w:cs="Arial" w:eastAsia="Arial" w:hAnsi="Arial"/>
          <w:sz w:val="24"/>
          <w:szCs w:val="24"/>
        </w:rPr>
        <w:t xml:space="preserve">1) непредставлении индивидуальным предпринимателем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информации об операциях, проводимых на счетах организации и индивидуального предпринимателя в банках Кыргызской Республики, а также о состоянии его счета за период срока исковой давности.</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105. Заявления на принудительную ликвидацию юридического лица передаются в суд и прилагаются материалы:</w:t>
      </w:r>
    </w:p>
    <w:p>
      <w:pPr>
        <w:spacing w:after="120"/>
        <w:ind w:firstLine="709"/>
        <w:jc w:val="both"/>
      </w:pPr>
      <w:r>
        <w:rPr>
          <w:rFonts w:ascii="Arial" w:cs="Arial" w:eastAsia="Arial" w:hAnsi="Arial"/>
          <w:sz w:val="24"/>
          <w:szCs w:val="24"/>
        </w:rPr>
        <w:t xml:space="preserve">1) об отсутствии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2) об отсутствии сведений об осуществлении экономической деятельности в информационных системах ГНС за период исковой давности на момент подачи заявления. </w:t>
      </w:r>
    </w:p>
    <w:p>
      <w:pPr>
        <w:spacing w:after="120"/>
        <w:ind w:firstLine="709"/>
        <w:jc w:val="both"/>
      </w:pPr>
      <w:r>
        <w:rPr>
          <w:rFonts w:ascii="Arial" w:cs="Arial" w:eastAsia="Arial" w:hAnsi="Arial"/>
          <w:sz w:val="24"/>
          <w:szCs w:val="24"/>
        </w:rPr>
        <w:t xml:space="preserve">Судебный приказ о принудительной ликвидации юридического лица, вступивший в установленном порядке в законную силу, является основанием для аннулирования налоговой регистрации и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106. Заявление в суд о выдаче судебного приказа оформляется в соответствии с нормами Гражданского процессуального кодекса Кыргызской Республики и должно содержать сведения: </w:t>
      </w:r>
    </w:p>
    <w:p>
      <w:pPr>
        <w:spacing w:after="120"/>
        <w:ind w:firstLine="709"/>
        <w:jc w:val="both"/>
      </w:pPr>
      <w:r>
        <w:rPr>
          <w:rFonts w:ascii="Arial" w:cs="Arial" w:eastAsia="Arial" w:hAnsi="Arial"/>
          <w:sz w:val="24"/>
          <w:szCs w:val="24"/>
        </w:rPr>
        <w:t xml:space="preserve">1) о непредставлении юридическим лицом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107. После получения налоговым органом судебного приказа, вступившего в установленном порядке в законную силу, о принудительной ликвидации юридического лица налоговый орган направляет копию судебного приказа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108.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Решение об аннулировании налоговой регистрации налогоплательщика хранится в информационной системе ГНС в виде законоцифрового документа. </w:t>
      </w:r>
    </w:p>
    <w:p>
      <w:pPr>
        <w:spacing w:after="120"/>
        <w:ind w:firstLine="709"/>
        <w:jc w:val="both"/>
      </w:pPr>
      <w:r>
        <w:rPr>
          <w:rFonts w:ascii="Arial" w:cs="Arial" w:eastAsia="Arial" w:hAnsi="Arial"/>
          <w:sz w:val="24"/>
          <w:szCs w:val="24"/>
        </w:rPr>
        <w:t xml:space="preserve">109. Принудительная ликвидация налоговой регистрации проводится одновременно с аннулированием его учетной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111.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112.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113.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Положению о порядке налоговой регистрации налогоплательщиков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идентификационного налогового номера налогоплательщика (ИНН)</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Структура ИНН, присваиваемого налоговым органом организациям, а также филиалам и представительствам иностранной организации, представляет собой совокупность четырнадцатизначных цифровых разрядов: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672"/>
        <w:gridCol w:w="672"/>
        <w:gridCol w:w="771"/>
        <w:gridCol w:w="771"/>
        <w:gridCol w:w="622"/>
        <w:gridCol w:w="622"/>
        <w:gridCol w:w="622"/>
        <w:gridCol w:w="622"/>
        <w:gridCol w:w="821"/>
        <w:gridCol w:w="821"/>
        <w:gridCol w:w="821"/>
        <w:gridCol w:w="821"/>
        <w:gridCol w:w="821"/>
      </w:tblGrid>
      <w:tr>
        <w:tc>
          <w:tcPr>
            <w:tcW w:type="dxa" w:w="6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before="120"/>
        <w:ind w:firstLine="709"/>
        <w:jc w:val="both"/>
      </w:pPr>
      <w:r>
        <w:rPr>
          <w:rFonts w:ascii="Arial" w:cs="Arial" w:eastAsia="Arial" w:hAnsi="Arial"/>
          <w:sz w:val="24"/>
          <w:szCs w:val="24"/>
        </w:rPr>
        <w:t xml:space="preserve">1. «П» – обозначает признак субъекта:</w:t>
      </w:r>
    </w:p>
    <w:p>
      <w:pPr>
        <w:spacing w:after="120"/>
        <w:ind w:firstLine="709"/>
        <w:jc w:val="both"/>
      </w:pPr>
      <w:r>
        <w:rPr>
          <w:rFonts w:ascii="Arial" w:cs="Arial" w:eastAsia="Arial" w:hAnsi="Arial"/>
          <w:sz w:val="24"/>
          <w:szCs w:val="24"/>
        </w:rPr>
        <w:t xml:space="preserve">1) «0» – юридическое лицо;</w:t>
      </w:r>
    </w:p>
    <w:p>
      <w:pPr>
        <w:spacing w:after="120"/>
        <w:ind w:firstLine="709"/>
        <w:jc w:val="both"/>
      </w:pPr>
      <w:r>
        <w:rPr>
          <w:rFonts w:ascii="Arial" w:cs="Arial" w:eastAsia="Arial" w:hAnsi="Arial"/>
          <w:sz w:val="24"/>
          <w:szCs w:val="24"/>
        </w:rPr>
        <w:t xml:space="preserve">2) «3» – нерезидент – иностранная организация, владеющая объектами налогообложения в Кыргызской Республике, международная организация, не зарегистрированная в Кыргызской Республике, выплачивающая доход гражданам Кыргызской Республики; ИНН, начинающийся с «3», используется исключительно для целей налогообложения указанных объектов и доходов;</w:t>
      </w:r>
    </w:p>
    <w:p>
      <w:pPr>
        <w:spacing w:after="120"/>
        <w:ind w:firstLine="709"/>
        <w:jc w:val="both"/>
      </w:pPr>
      <w:r>
        <w:rPr>
          <w:rFonts w:ascii="Arial" w:cs="Arial" w:eastAsia="Arial" w:hAnsi="Arial"/>
          <w:sz w:val="24"/>
          <w:szCs w:val="24"/>
        </w:rPr>
        <w:t xml:space="preserve">3) «4» – филиал, представительство юридического лица, являющегося резидентом Кыргызской Республики и прошедшего государственную регистрацию в уполномоченном регистрирующем органе;</w:t>
      </w:r>
    </w:p>
    <w:p>
      <w:pPr>
        <w:spacing w:after="120"/>
        <w:ind w:firstLine="709"/>
        <w:jc w:val="both"/>
      </w:pPr>
      <w:r>
        <w:rPr>
          <w:rFonts w:ascii="Arial" w:cs="Arial" w:eastAsia="Arial" w:hAnsi="Arial"/>
          <w:sz w:val="24"/>
          <w:szCs w:val="24"/>
        </w:rPr>
        <w:t xml:space="preserve">4) «5» – дипломатическое представительство или организация, созданная в соответствии с международными договорами и соглашениями, проекты международных организаций;</w:t>
      </w:r>
    </w:p>
    <w:p>
      <w:pPr>
        <w:spacing w:after="120"/>
        <w:ind w:firstLine="709"/>
        <w:jc w:val="both"/>
      </w:pPr>
      <w:r>
        <w:rPr>
          <w:rFonts w:ascii="Arial" w:cs="Arial" w:eastAsia="Arial" w:hAnsi="Arial"/>
          <w:sz w:val="24"/>
          <w:szCs w:val="24"/>
        </w:rPr>
        <w:t xml:space="preserve">5) «6» – иностранная организация, оказывающая услуги в электронной форме, а также осуществляющая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зарегистрированная в качестве плательщика НДС;</w:t>
      </w:r>
    </w:p>
    <w:p>
      <w:pPr>
        <w:spacing w:after="160"/>
        <w:ind w:firstLine="709"/>
        <w:jc w:val="both"/>
      </w:pPr>
      <w:r>
        <w:rPr>
          <w:rFonts w:ascii="Arial" w:cs="Arial" w:eastAsia="Arial" w:hAnsi="Arial"/>
          <w:sz w:val="24"/>
          <w:szCs w:val="24"/>
        </w:rPr>
        <w:t xml:space="preserve">6) «8» –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w:t>
      </w:r>
    </w:p>
    <w:p>
      <w:pPr>
        <w:spacing w:after="120"/>
        <w:ind w:firstLine="709"/>
        <w:jc w:val="both"/>
      </w:pPr>
      <w:r>
        <w:rPr>
          <w:rFonts w:ascii="Arial" w:cs="Arial" w:eastAsia="Arial" w:hAnsi="Arial"/>
          <w:sz w:val="24"/>
          <w:szCs w:val="24"/>
        </w:rPr>
        <w:t xml:space="preserve">2. «ЧЧ» – обозначает день первичной регистрации организации.</w:t>
      </w:r>
    </w:p>
    <w:p>
      <w:pPr>
        <w:spacing w:after="120"/>
        <w:ind w:firstLine="709"/>
        <w:jc w:val="both"/>
      </w:pPr>
      <w:r>
        <w:rPr>
          <w:rFonts w:ascii="Arial" w:cs="Arial" w:eastAsia="Arial" w:hAnsi="Arial"/>
          <w:sz w:val="24"/>
          <w:szCs w:val="24"/>
        </w:rPr>
        <w:t xml:space="preserve">3. «ММ» – обозначает месяц первичной регистрации организации.</w:t>
      </w:r>
    </w:p>
    <w:p>
      <w:pPr>
        <w:spacing w:after="120"/>
        <w:ind w:firstLine="709"/>
        <w:jc w:val="both"/>
      </w:pPr>
      <w:r>
        <w:rPr>
          <w:rFonts w:ascii="Arial" w:cs="Arial" w:eastAsia="Arial" w:hAnsi="Arial"/>
          <w:sz w:val="24"/>
          <w:szCs w:val="24"/>
        </w:rPr>
        <w:t xml:space="preserve">4. «ГГГГ» – обозначает год первичной регистрации для организации.</w:t>
      </w:r>
    </w:p>
    <w:p>
      <w:pPr>
        <w:spacing w:after="120"/>
        <w:ind w:firstLine="709"/>
        <w:jc w:val="both"/>
      </w:pPr>
      <w:r>
        <w:rPr>
          <w:rFonts w:ascii="Arial" w:cs="Arial" w:eastAsia="Arial" w:hAnsi="Arial"/>
          <w:sz w:val="24"/>
          <w:szCs w:val="24"/>
        </w:rPr>
        <w:t xml:space="preserve">5. «И» – является идентификатором:</w:t>
      </w:r>
    </w:p>
    <w:p>
      <w:pPr>
        <w:spacing w:after="120"/>
        <w:ind w:firstLine="709"/>
        <w:jc w:val="both"/>
      </w:pPr>
      <w:r>
        <w:rPr>
          <w:rFonts w:ascii="Arial" w:cs="Arial" w:eastAsia="Arial" w:hAnsi="Arial"/>
          <w:sz w:val="24"/>
          <w:szCs w:val="24"/>
        </w:rPr>
        <w:t xml:space="preserve">1) «0» – присвоение ИНН Социальным фондом Кыргызской Республики при Кабинете Министров Кыргызской Республики;</w:t>
      </w:r>
    </w:p>
    <w:p>
      <w:pPr>
        <w:spacing w:after="120"/>
        <w:ind w:firstLine="709"/>
        <w:jc w:val="both"/>
      </w:pPr>
      <w:r>
        <w:rPr>
          <w:rFonts w:ascii="Arial" w:cs="Arial" w:eastAsia="Arial" w:hAnsi="Arial"/>
          <w:sz w:val="24"/>
          <w:szCs w:val="24"/>
        </w:rPr>
        <w:t xml:space="preserve">2) «1» – присвоение номера налоговой службой.</w:t>
      </w:r>
    </w:p>
    <w:p>
      <w:pPr>
        <w:spacing w:after="120"/>
        <w:ind w:firstLine="709"/>
        <w:jc w:val="both"/>
      </w:pPr>
      <w:r>
        <w:rPr>
          <w:rFonts w:ascii="Arial" w:cs="Arial" w:eastAsia="Arial" w:hAnsi="Arial"/>
          <w:sz w:val="24"/>
          <w:szCs w:val="24"/>
        </w:rPr>
        <w:t xml:space="preserve">6. «ННН» – обозначает порядковый номер в системе на дату первичной регистрации для организации.</w:t>
      </w:r>
    </w:p>
    <w:p>
      <w:pPr>
        <w:spacing w:after="120"/>
        <w:ind w:firstLine="709"/>
        <w:jc w:val="both"/>
      </w:pPr>
      <w:r>
        <w:rPr>
          <w:rFonts w:ascii="Arial" w:cs="Arial" w:eastAsia="Arial" w:hAnsi="Arial"/>
          <w:sz w:val="24"/>
          <w:szCs w:val="24"/>
        </w:rPr>
        <w:t xml:space="preserve">7. «К» – является контрольным числом присвоенного номера.</w:t>
      </w:r>
    </w:p>
    <w:p>
      <w:pPr>
        <w:spacing w:after="120"/>
        <w:ind w:firstLine="709"/>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dev-efcx1jzbtpw0gji">
      <w:r>
        <w:rPr>
          <w:rFonts w:ascii="Arial" w:cs="Arial" w:eastAsia="Arial" w:hAnsi="Arial"/>
          <w:color w:val="132D3F"/>
          <w:sz w:val="16"/>
          <w:szCs w:val="16"/>
          <w:u w:val="single"/>
        </w:rPr>
        <w:t xml:space="preserve">dalil.kg/document/230045027</w:t>
      </w:r>
    </w:hyperlink>
  </w:p>
  <w:p>
    <w:pPr>
      <w:spacing w:after="0" w:before="40"/>
      <w:jc w:val="center"/>
    </w:pPr>
    <w:hyperlink w:history="1" r:id="rIdr88yck8rxwezufzsw6s8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x4-sjqawux1inpn21px" Type="http://schemas.openxmlformats.org/officeDocument/2006/relationships/hyperlink" Target="https://dalil.kg/document/159099" TargetMode="External"/><Relationship Id="rIdglzd2eb9hio-fjveqet0v" Type="http://schemas.openxmlformats.org/officeDocument/2006/relationships/hyperlink" Target="https://dalil.kg/document/159109" TargetMode="External"/><Relationship Id="rId_g__g1jqy_actzfe2xafr" Type="http://schemas.openxmlformats.org/officeDocument/2006/relationships/hyperlink" Target="https://dalil.kg/document/230045027#pr" TargetMode="External"/><Relationship Id="rIdfzc59ik2qahuvmculyfii" Type="http://schemas.openxmlformats.org/officeDocument/2006/relationships/hyperlink" Target="https://dalil.kg/document/230010014" TargetMode="External"/><Relationship Id="rIdwrzxhf3hdvoc189rha_-3" Type="http://schemas.openxmlformats.org/officeDocument/2006/relationships/hyperlink" Target="https://dalil.kg/document/1591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dev-efcx1jzbtpw0gji" Type="http://schemas.openxmlformats.org/officeDocument/2006/relationships/hyperlink" Target="https://dalil.kg/document/230045027" TargetMode="External"/><Relationship Id="rIdr88yck8rxwezufzsw6s8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2026-09-24T03:33:40.243Z</dcterms:created>
  <dcterms:modified xsi:type="dcterms:W3CDTF">2026-09-24T03:33:40.243Z</dcterms:modified>
</cp:coreProperties>
</file>

<file path=docProps/custom.xml><?xml version="1.0" encoding="utf-8"?>
<Properties xmlns="http://schemas.openxmlformats.org/officeDocument/2006/custom-properties" xmlns:vt="http://schemas.openxmlformats.org/officeDocument/2006/docPropsVTypes"/>
</file>