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</w:t>
      </w:r>
      <w:r>
        <w:rPr>
          <w:rFonts w:ascii="Arial" w:cs="Arial" w:eastAsia="Arial" w:hAnsi="Arial"/>
          <w:sz w:val="24"/>
          <w:szCs w:val="24"/>
        </w:rPr>
        <w:t xml:space="preserve"> 25 апреля </w:t>
      </w:r>
      <w:r>
        <w:rPr>
          <w:rFonts w:ascii="Arial" w:cs="Arial" w:eastAsia="Arial" w:hAnsi="Arial"/>
          <w:sz w:val="24"/>
          <w:szCs w:val="24"/>
        </w:rPr>
        <w:t xml:space="preserve">202</w:t>
      </w:r>
      <w:r>
        <w:rPr>
          <w:rFonts w:ascii="Arial" w:cs="Arial" w:eastAsia="Arial" w:hAnsi="Arial"/>
          <w:sz w:val="24"/>
          <w:szCs w:val="24"/>
        </w:rPr>
        <w:t xml:space="preserve">6 </w:t>
      </w:r>
      <w:r>
        <w:rPr>
          <w:rFonts w:ascii="Arial" w:cs="Arial" w:eastAsia="Arial" w:hAnsi="Arial"/>
          <w:sz w:val="24"/>
          <w:szCs w:val="24"/>
        </w:rPr>
        <w:t xml:space="preserve">года №</w:t>
      </w:r>
      <w:r>
        <w:rPr>
          <w:rFonts w:ascii="Arial" w:cs="Arial" w:eastAsia="Arial" w:hAnsi="Arial"/>
          <w:sz w:val="24"/>
          <w:szCs w:val="24"/>
        </w:rPr>
        <w:t xml:space="preserve"> 289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условиях оплаты труда работников, не относящихся к категории государственных служащих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 и 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занятых в государственных подведомственных учреждениях 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в сфере культуры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упорядочения условий оплаты труда работников учреждений культуры, </w:t>
      </w:r>
      <w:r>
        <w:rPr>
          <w:rFonts w:ascii="Arial" w:cs="Arial" w:eastAsia="Arial" w:hAnsi="Arial"/>
          <w:sz w:val="24"/>
          <w:szCs w:val="24"/>
        </w:rPr>
        <w:t xml:space="preserve">реализации </w:t>
      </w:r>
      <w:hyperlink w:history="1" r:id="rIdtdpsqpsajbstfdtgjthu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</w:t>
      </w:r>
      <w:r>
        <w:rPr>
          <w:rFonts w:ascii="Arial" w:cs="Arial" w:eastAsia="Arial" w:hAnsi="Arial"/>
          <w:sz w:val="24"/>
          <w:szCs w:val="24"/>
        </w:rPr>
        <w:t xml:space="preserve">«О мерах по совершенствованию условий оплаты труда отдельных работников бюджетной сферы Кыргызской Республики» от 26 марта 2026 года № 121</w:t>
      </w:r>
      <w:r>
        <w:rPr>
          <w:rFonts w:ascii="Arial" w:cs="Arial" w:eastAsia="Arial" w:hAnsi="Arial"/>
          <w:sz w:val="24"/>
          <w:szCs w:val="24"/>
        </w:rPr>
        <w:t xml:space="preserve">,</w:t>
      </w:r>
      <w:r>
        <w:rPr>
          <w:rFonts w:ascii="Arial" w:cs="Arial" w:eastAsia="Arial" w:hAnsi="Arial"/>
          <w:sz w:val="24"/>
          <w:szCs w:val="24"/>
        </w:rPr>
        <w:t xml:space="preserve"> в соответствии</w:t>
      </w:r>
      <w:r>
        <w:rPr>
          <w:rFonts w:ascii="Arial" w:cs="Arial" w:eastAsia="Arial" w:hAnsi="Arial"/>
          <w:sz w:val="24"/>
          <w:szCs w:val="24"/>
        </w:rPr>
        <w:t xml:space="preserve"> со </w:t>
      </w:r>
      <w:r>
        <w:rPr>
          <w:rFonts w:ascii="Arial" w:cs="Arial" w:eastAsia="Arial" w:hAnsi="Arial"/>
          <w:sz w:val="24"/>
          <w:szCs w:val="24"/>
        </w:rPr>
        <w:t xml:space="preserve">статьями </w:t>
      </w:r>
      <w:r>
        <w:rPr>
          <w:rFonts w:ascii="Arial" w:cs="Arial" w:eastAsia="Arial" w:hAnsi="Arial"/>
          <w:sz w:val="24"/>
          <w:szCs w:val="24"/>
        </w:rPr>
        <w:t xml:space="preserve">13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</w:t>
      </w:r>
      <w:r>
        <w:rPr>
          <w:rFonts w:ascii="Arial" w:cs="Arial" w:eastAsia="Arial" w:hAnsi="Arial"/>
          <w:sz w:val="24"/>
          <w:szCs w:val="24"/>
        </w:rPr>
        <w:t xml:space="preserve">Установить минималь</w:t>
      </w:r>
      <w:r>
        <w:rPr>
          <w:rFonts w:ascii="Arial" w:cs="Arial" w:eastAsia="Arial" w:hAnsi="Arial"/>
          <w:sz w:val="24"/>
          <w:szCs w:val="24"/>
        </w:rPr>
        <w:t xml:space="preserve">ную</w:t>
      </w:r>
      <w:r>
        <w:rPr>
          <w:rFonts w:ascii="Arial" w:cs="Arial" w:eastAsia="Arial" w:hAnsi="Arial"/>
          <w:sz w:val="24"/>
          <w:szCs w:val="24"/>
        </w:rPr>
        <w:t xml:space="preserve"> базов</w:t>
      </w:r>
      <w:r>
        <w:rPr>
          <w:rFonts w:ascii="Arial" w:cs="Arial" w:eastAsia="Arial" w:hAnsi="Arial"/>
          <w:sz w:val="24"/>
          <w:szCs w:val="24"/>
        </w:rPr>
        <w:t xml:space="preserve">ую</w:t>
      </w:r>
      <w:r>
        <w:rPr>
          <w:rFonts w:ascii="Arial" w:cs="Arial" w:eastAsia="Arial" w:hAnsi="Arial"/>
          <w:sz w:val="24"/>
          <w:szCs w:val="24"/>
        </w:rPr>
        <w:t xml:space="preserve">ставку</w:t>
      </w:r>
      <w:r>
        <w:rPr>
          <w:rFonts w:ascii="Arial" w:cs="Arial" w:eastAsia="Arial" w:hAnsi="Arial"/>
          <w:sz w:val="24"/>
          <w:szCs w:val="24"/>
        </w:rPr>
        <w:t xml:space="preserve"> в размере 7</w:t>
      </w:r>
      <w:r>
        <w:rPr>
          <w:rFonts w:ascii="Arial" w:cs="Arial" w:eastAsia="Arial" w:hAnsi="Arial"/>
          <w:sz w:val="24"/>
          <w:szCs w:val="24"/>
        </w:rPr>
        <w:t xml:space="preserve">040 сомов, являющуюся основанием для расчета должностных окладов работников учреждений культуры.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1) коэффициенты кратности к должностным окладам работников, не относящихся к категории государственных служащих и занятых в государственных подведомственных учреждениях в сфере культуры, работников технического и младшего обслуживающего персонала, занятого обслуживанием государственных учреждений, подведомственных учреждений в сфере культуры, согласно приложениям </w:t>
      </w:r>
      <w:hyperlink w:history="1" r:id="rId8jlhd0ymiogn5jfa4ihn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–</w:t>
      </w:r>
      <w:hyperlink w:history="1" r:id="rIdqx7alypkitf-5lhaf28m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2) размеры процентных надбавок за выслугу лет работников, не относящихся к категории государственных служащих и занятых в государственных учреждениях, включая учреждения, подведомственные государственным органам исполнительной власти, работник</w:t>
      </w:r>
      <w:r>
        <w:rPr>
          <w:rFonts w:ascii="Arial" w:cs="Arial" w:eastAsia="Arial" w:hAnsi="Arial"/>
          <w:sz w:val="24"/>
          <w:szCs w:val="24"/>
        </w:rPr>
        <w:t xml:space="preserve">ов</w:t>
      </w:r>
      <w:r>
        <w:rPr>
          <w:rFonts w:ascii="Arial" w:cs="Arial" w:eastAsia="Arial" w:hAnsi="Arial"/>
          <w:sz w:val="24"/>
          <w:szCs w:val="24"/>
        </w:rPr>
        <w:t xml:space="preserve"> технического обслуживающего персонала, занятого обслуживанием государственных учреждений, подведомственных учреждений в сфере культуры, за исключением младшего обслуживающего персонала, согласно </w:t>
      </w:r>
      <w:hyperlink w:history="1" r:id="rIdkcecfdg7y9i-ohsoxzyk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</w:t>
        </w:r>
      </w:hyperlink>
      <w:r>
        <w:rPr>
          <w:rFonts w:ascii="Arial" w:cs="Arial" w:eastAsia="Arial" w:hAnsi="Arial"/>
          <w:sz w:val="24"/>
          <w:szCs w:val="24"/>
        </w:rPr>
        <w:t xml:space="preserve">9.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3. Установить, что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r>
        <w:rPr>
          <w:rFonts w:ascii="Arial" w:cs="Arial" w:eastAsia="Arial" w:hAnsi="Arial"/>
          <w:sz w:val="24"/>
          <w:szCs w:val="24"/>
        </w:rPr>
        <w:t xml:space="preserve">работникам</w:t>
      </w:r>
      <w:r>
        <w:rPr>
          <w:rFonts w:ascii="Arial" w:cs="Arial" w:eastAsia="Arial" w:hAnsi="Arial"/>
          <w:sz w:val="24"/>
          <w:szCs w:val="24"/>
        </w:rPr>
        <w:t xml:space="preserve">, за исключением младшего обслуживающего персонала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 </w:t>
      </w:r>
      <w:r>
        <w:rPr>
          <w:rFonts w:ascii="Arial" w:cs="Arial" w:eastAsia="Arial" w:hAnsi="Arial"/>
          <w:sz w:val="24"/>
          <w:szCs w:val="24"/>
        </w:rPr>
        <w:t xml:space="preserve">при выходе в трудовой отпуск выплачивается пособие на оздоровление в размере двухмесячного фонда заработной платы;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 в конце календарного года выплачивается тринадцатая заработная плата в размере среднемесячного фонда заработной платы;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2) выплачивается </w:t>
      </w:r>
      <w:r>
        <w:rPr>
          <w:rFonts w:ascii="Arial" w:cs="Arial" w:eastAsia="Arial" w:hAnsi="Arial"/>
          <w:sz w:val="24"/>
          <w:szCs w:val="24"/>
        </w:rPr>
        <w:t xml:space="preserve">президентская компенсационн</w:t>
      </w:r>
      <w:r>
        <w:rPr>
          <w:rFonts w:ascii="Arial" w:cs="Arial" w:eastAsia="Arial" w:hAnsi="Arial"/>
          <w:sz w:val="24"/>
          <w:szCs w:val="24"/>
        </w:rPr>
        <w:t xml:space="preserve">ая</w:t>
      </w:r>
      <w:r>
        <w:rPr>
          <w:rFonts w:ascii="Arial" w:cs="Arial" w:eastAsia="Arial" w:hAnsi="Arial"/>
          <w:sz w:val="24"/>
          <w:szCs w:val="24"/>
        </w:rPr>
        <w:t xml:space="preserve"> выплата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 </w:t>
      </w:r>
      <w:r>
        <w:rPr>
          <w:rFonts w:ascii="Arial" w:cs="Arial" w:eastAsia="Arial" w:hAnsi="Arial"/>
          <w:sz w:val="24"/>
          <w:szCs w:val="24"/>
        </w:rPr>
        <w:t xml:space="preserve">в размере 15</w:t>
      </w:r>
      <w:r>
        <w:rPr>
          <w:rFonts w:ascii="Arial" w:cs="Arial" w:eastAsia="Arial" w:hAnsi="Arial"/>
          <w:sz w:val="24"/>
          <w:szCs w:val="24"/>
        </w:rPr>
        <w:t xml:space="preserve">000 сомов на 1 </w:t>
      </w:r>
      <w:r>
        <w:rPr>
          <w:rFonts w:ascii="Arial" w:cs="Arial" w:eastAsia="Arial" w:hAnsi="Arial"/>
          <w:sz w:val="24"/>
          <w:szCs w:val="24"/>
        </w:rPr>
        <w:t xml:space="preserve">штатную единицу (1 ставку) </w:t>
      </w:r>
      <w:r>
        <w:rPr>
          <w:rFonts w:ascii="Arial" w:cs="Arial" w:eastAsia="Arial" w:hAnsi="Arial"/>
          <w:sz w:val="24"/>
          <w:szCs w:val="24"/>
        </w:rPr>
        <w:t xml:space="preserve">работникам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за исключением технического и младшего обслуживающего персонала;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 </w:t>
      </w:r>
      <w:r>
        <w:rPr>
          <w:rFonts w:ascii="Arial" w:cs="Arial" w:eastAsia="Arial" w:hAnsi="Arial"/>
          <w:sz w:val="24"/>
          <w:szCs w:val="24"/>
        </w:rPr>
        <w:t xml:space="preserve">в размере 5</w:t>
      </w:r>
      <w:r>
        <w:rPr>
          <w:rFonts w:ascii="Arial" w:cs="Arial" w:eastAsia="Arial" w:hAnsi="Arial"/>
          <w:sz w:val="24"/>
          <w:szCs w:val="24"/>
        </w:rPr>
        <w:t xml:space="preserve">000 сомов на 1 </w:t>
      </w:r>
      <w:r>
        <w:rPr>
          <w:rFonts w:ascii="Arial" w:cs="Arial" w:eastAsia="Arial" w:hAnsi="Arial"/>
          <w:sz w:val="24"/>
          <w:szCs w:val="24"/>
        </w:rPr>
        <w:t xml:space="preserve">штатную единицу (1 ставку) </w:t>
      </w:r>
      <w:r>
        <w:rPr>
          <w:rFonts w:ascii="Arial" w:cs="Arial" w:eastAsia="Arial" w:hAnsi="Arial"/>
          <w:sz w:val="24"/>
          <w:szCs w:val="24"/>
        </w:rPr>
        <w:t xml:space="preserve">для технического и младшего обслуживающего персонала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П</w:t>
      </w:r>
      <w:r>
        <w:rPr>
          <w:rFonts w:ascii="Arial" w:cs="Arial" w:eastAsia="Arial" w:hAnsi="Arial"/>
          <w:sz w:val="24"/>
          <w:szCs w:val="24"/>
        </w:rPr>
        <w:t xml:space="preserve">резидентск</w:t>
      </w:r>
      <w:r>
        <w:rPr>
          <w:rFonts w:ascii="Arial" w:cs="Arial" w:eastAsia="Arial" w:hAnsi="Arial"/>
          <w:sz w:val="24"/>
          <w:szCs w:val="24"/>
        </w:rPr>
        <w:t xml:space="preserve">ая</w:t>
      </w:r>
      <w:r>
        <w:rPr>
          <w:rFonts w:ascii="Arial" w:cs="Arial" w:eastAsia="Arial" w:hAnsi="Arial"/>
          <w:sz w:val="24"/>
          <w:szCs w:val="24"/>
        </w:rPr>
        <w:t xml:space="preserve"> компенсационн</w:t>
      </w:r>
      <w:r>
        <w:rPr>
          <w:rFonts w:ascii="Arial" w:cs="Arial" w:eastAsia="Arial" w:hAnsi="Arial"/>
          <w:sz w:val="24"/>
          <w:szCs w:val="24"/>
        </w:rPr>
        <w:t xml:space="preserve">ая</w:t>
      </w:r>
      <w:r>
        <w:rPr>
          <w:rFonts w:ascii="Arial" w:cs="Arial" w:eastAsia="Arial" w:hAnsi="Arial"/>
          <w:sz w:val="24"/>
          <w:szCs w:val="24"/>
        </w:rPr>
        <w:t xml:space="preserve"> выплат</w:t>
      </w:r>
      <w:r>
        <w:rPr>
          <w:rFonts w:ascii="Arial" w:cs="Arial" w:eastAsia="Arial" w:hAnsi="Arial"/>
          <w:sz w:val="24"/>
          <w:szCs w:val="24"/>
        </w:rPr>
        <w:t xml:space="preserve">а</w:t>
      </w:r>
      <w:r>
        <w:rPr>
          <w:rFonts w:ascii="Arial" w:cs="Arial" w:eastAsia="Arial" w:hAnsi="Arial"/>
          <w:sz w:val="24"/>
          <w:szCs w:val="24"/>
        </w:rPr>
        <w:t xml:space="preserve"> не учитывается при расчетах отпускных</w:t>
      </w:r>
      <w:r>
        <w:rPr>
          <w:rFonts w:ascii="Arial" w:cs="Arial" w:eastAsia="Arial" w:hAnsi="Arial"/>
          <w:sz w:val="24"/>
          <w:szCs w:val="24"/>
        </w:rPr>
        <w:t xml:space="preserve">, пособий на оздоровление, тринадцатой заработной платы, доплат к заработной плате за проживание и работу в условиях </w:t>
      </w:r>
      <w:r>
        <w:rPr>
          <w:rFonts w:ascii="Arial" w:cs="Arial" w:eastAsia="Arial" w:hAnsi="Arial"/>
          <w:sz w:val="24"/>
          <w:szCs w:val="24"/>
        </w:rPr>
        <w:t xml:space="preserve">высокогор</w:t>
      </w:r>
      <w:r>
        <w:rPr>
          <w:rFonts w:ascii="Arial" w:cs="Arial" w:eastAsia="Arial" w:hAnsi="Arial"/>
          <w:sz w:val="24"/>
          <w:szCs w:val="24"/>
        </w:rPr>
        <w:t xml:space="preserve">ья</w:t>
      </w:r>
      <w:r>
        <w:rPr>
          <w:rFonts w:ascii="Arial" w:cs="Arial" w:eastAsia="Arial" w:hAnsi="Arial"/>
          <w:sz w:val="24"/>
          <w:szCs w:val="24"/>
        </w:rPr>
        <w:t xml:space="preserve"> и отдаленных зонах Кыргызской Республики, выплачива</w:t>
      </w:r>
      <w:r>
        <w:rPr>
          <w:rFonts w:ascii="Arial" w:cs="Arial" w:eastAsia="Arial" w:hAnsi="Arial"/>
          <w:sz w:val="24"/>
          <w:szCs w:val="24"/>
        </w:rPr>
        <w:t xml:space="preserve">е</w:t>
      </w:r>
      <w:r>
        <w:rPr>
          <w:rFonts w:ascii="Arial" w:cs="Arial" w:eastAsia="Arial" w:hAnsi="Arial"/>
          <w:sz w:val="24"/>
          <w:szCs w:val="24"/>
        </w:rPr>
        <w:t xml:space="preserve">тся</w:t>
      </w:r>
      <w:r>
        <w:rPr>
          <w:rFonts w:ascii="Arial" w:cs="Arial" w:eastAsia="Arial" w:hAnsi="Arial"/>
          <w:sz w:val="24"/>
          <w:szCs w:val="24"/>
        </w:rPr>
        <w:t xml:space="preserve"> не более чем на одну штатную единицу (1 ставку) </w:t>
      </w:r>
      <w:r>
        <w:rPr>
          <w:rFonts w:ascii="Arial" w:cs="Arial" w:eastAsia="Arial" w:hAnsi="Arial"/>
          <w:sz w:val="24"/>
          <w:szCs w:val="24"/>
        </w:rPr>
        <w:t xml:space="preserve">за фактически отработанное время;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3) </w:t>
      </w:r>
      <w:r>
        <w:rPr>
          <w:rFonts w:ascii="Arial" w:cs="Arial" w:eastAsia="Arial" w:hAnsi="Arial"/>
          <w:sz w:val="24"/>
          <w:szCs w:val="24"/>
        </w:rPr>
        <w:t xml:space="preserve">процентные надбавки к должностным окладам некоторых работников из числа технического и младшего обслуживающего персонала, занятого обслуживанием государственных учреждений, подведомственных учреждений в сфере культуры, </w:t>
      </w:r>
      <w:r>
        <w:rPr>
          <w:rFonts w:ascii="Arial" w:cs="Arial" w:eastAsia="Arial" w:hAnsi="Arial"/>
          <w:sz w:val="24"/>
          <w:szCs w:val="24"/>
        </w:rPr>
        <w:t xml:space="preserve">устанавливается </w:t>
      </w:r>
      <w:r>
        <w:rPr>
          <w:rFonts w:ascii="Arial" w:cs="Arial" w:eastAsia="Arial" w:hAnsi="Arial"/>
          <w:sz w:val="24"/>
          <w:szCs w:val="24"/>
        </w:rPr>
        <w:t xml:space="preserve">в следующих размерах: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 </w:t>
      </w:r>
      <w:r>
        <w:rPr>
          <w:rFonts w:ascii="Arial" w:cs="Arial" w:eastAsia="Arial" w:hAnsi="Arial"/>
          <w:sz w:val="24"/>
          <w:szCs w:val="24"/>
        </w:rPr>
        <w:t xml:space="preserve">водителям автом</w:t>
      </w:r>
      <w:r>
        <w:rPr>
          <w:rFonts w:ascii="Arial" w:cs="Arial" w:eastAsia="Arial" w:hAnsi="Arial"/>
          <w:sz w:val="24"/>
          <w:szCs w:val="24"/>
        </w:rPr>
        <w:t xml:space="preserve">обилей</w:t>
      </w:r>
      <w:r>
        <w:rPr>
          <w:rFonts w:ascii="Arial" w:cs="Arial" w:eastAsia="Arial" w:hAnsi="Arial"/>
          <w:sz w:val="24"/>
          <w:szCs w:val="24"/>
        </w:rPr>
        <w:t xml:space="preserve"> за ненормированный рабочий день </w:t>
      </w: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 25 процентов от должностного оклада;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 </w:t>
      </w:r>
      <w:r>
        <w:rPr>
          <w:rFonts w:ascii="Arial" w:cs="Arial" w:eastAsia="Arial" w:hAnsi="Arial"/>
          <w:sz w:val="24"/>
          <w:szCs w:val="24"/>
        </w:rPr>
        <w:t xml:space="preserve">сторожам за работу в ночное время </w:t>
      </w: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 50 процентов от </w:t>
      </w:r>
      <w:r>
        <w:rPr>
          <w:rFonts w:ascii="Arial" w:cs="Arial" w:eastAsia="Arial" w:hAnsi="Arial"/>
          <w:sz w:val="24"/>
          <w:szCs w:val="24"/>
        </w:rPr>
        <w:t xml:space="preserve">должностного оклада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 уборщикам служебных помещений</w:t>
      </w:r>
      <w:r>
        <w:rPr>
          <w:rFonts w:ascii="Arial" w:cs="Arial" w:eastAsia="Arial" w:hAnsi="Arial"/>
          <w:sz w:val="24"/>
          <w:szCs w:val="24"/>
        </w:rPr>
        <w:t xml:space="preserve"> и общественных туалетов </w:t>
      </w:r>
      <w:r>
        <w:rPr>
          <w:rFonts w:ascii="Arial" w:cs="Arial" w:eastAsia="Arial" w:hAnsi="Arial"/>
          <w:sz w:val="24"/>
          <w:szCs w:val="24"/>
        </w:rPr>
        <w:t xml:space="preserve">за работу с применением синтетических моющих и дезинфицирующих средств </w:t>
      </w: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 25 процентов от должностного оклада;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4) </w:t>
      </w:r>
      <w:r>
        <w:rPr>
          <w:rFonts w:ascii="Arial" w:cs="Arial" w:eastAsia="Arial" w:hAnsi="Arial"/>
          <w:sz w:val="24"/>
          <w:szCs w:val="24"/>
        </w:rPr>
        <w:t xml:space="preserve">органы местного самоуправления городов республиканского значения вправе вводить надбавки и выплаты к должностным окладам работников учреждений, содержащихся за счет средств местного бюджета, утверждаемые решениями городского кенеша.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.</w:t>
      </w:r>
      <w:r>
        <w:rPr>
          <w:rFonts w:ascii="Arial" w:cs="Arial" w:eastAsia="Arial" w:hAnsi="Arial"/>
          <w:sz w:val="24"/>
          <w:szCs w:val="24"/>
        </w:rPr>
        <w:t xml:space="preserve">Признать утратившими силу: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77gy4aoiycaxcbmmzqoa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Кабинета Министров Кыргызской Республики </w:t>
      </w:r>
      <w:r>
        <w:rPr>
          <w:rFonts w:ascii="Arial" w:cs="Arial" w:eastAsia="Arial" w:hAnsi="Arial"/>
          <w:sz w:val="24"/>
          <w:szCs w:val="24"/>
        </w:rPr>
        <w:t xml:space="preserve">«</w:t>
      </w:r>
      <w:r>
        <w:rPr>
          <w:rFonts w:ascii="Arial" w:cs="Arial" w:eastAsia="Arial" w:hAnsi="Arial"/>
          <w:sz w:val="24"/>
          <w:szCs w:val="24"/>
        </w:rPr>
        <w:t xml:space="preserve">Об условиях оплаты труда работников, не относящихся к категории государственных служащих и занятых в государственных подведомственных учреждениях в сфере культуры и информации</w:t>
      </w:r>
      <w:r>
        <w:rPr>
          <w:rFonts w:ascii="Arial" w:cs="Arial" w:eastAsia="Arial" w:hAnsi="Arial"/>
          <w:sz w:val="24"/>
          <w:szCs w:val="24"/>
        </w:rPr>
        <w:t xml:space="preserve">»</w:t>
      </w:r>
      <w:r>
        <w:rPr>
          <w:rFonts w:ascii="Arial" w:cs="Arial" w:eastAsia="Arial" w:hAnsi="Arial"/>
          <w:sz w:val="24"/>
          <w:szCs w:val="24"/>
        </w:rPr>
        <w:t xml:space="preserve"> от 30 марта 2022 года № 180;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2) пункт 1 </w:t>
      </w:r>
      <w:hyperlink w:history="1" r:id="rIdbutanmilj7toxhrmq1ve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«О внесении изменений в некоторые решения Кабинета Министров Кыргызской Республики в сфере телерадиовещания» от 
 </w:t>
      </w:r>
      <w:r>
        <w:rPr>
          <w:rFonts w:ascii="Arial" w:cs="Arial" w:eastAsia="Arial" w:hAnsi="Arial"/>
          <w:sz w:val="24"/>
          <w:szCs w:val="24"/>
        </w:rPr>
        <w:t xml:space="preserve">3 марта</w:t>
      </w:r>
      <w:r>
        <w:rPr>
          <w:rFonts w:ascii="Arial" w:cs="Arial" w:eastAsia="Arial" w:hAnsi="Arial"/>
          <w:sz w:val="24"/>
          <w:szCs w:val="24"/>
        </w:rPr>
        <w:t xml:space="preserve"> 2023 года № </w:t>
      </w:r>
      <w:r>
        <w:rPr>
          <w:rFonts w:ascii="Arial" w:cs="Arial" w:eastAsia="Arial" w:hAnsi="Arial"/>
          <w:sz w:val="24"/>
          <w:szCs w:val="24"/>
        </w:rPr>
        <w:t xml:space="preserve">132;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3) пункт 2 </w:t>
      </w:r>
      <w:hyperlink w:history="1" r:id="rIdbmnpqjtbpryiucaknool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</w:t>
      </w:r>
      <w:r>
        <w:rPr>
          <w:rFonts w:ascii="Arial" w:cs="Arial" w:eastAsia="Arial" w:hAnsi="Arial"/>
          <w:sz w:val="24"/>
          <w:szCs w:val="24"/>
        </w:rPr>
        <w:t xml:space="preserve">«О внесении изменений в некоторые решения Кабинета Министров Кыргызской Республики, регулирующие условия оплаты труда отдельных категорий работников органов местного самоуправления городов республиканского значения, не относящихся к категории муниципальных служащих» </w:t>
      </w:r>
      <w:r>
        <w:rPr>
          <w:rFonts w:ascii="Arial" w:cs="Arial" w:eastAsia="Arial" w:hAnsi="Arial"/>
          <w:sz w:val="24"/>
          <w:szCs w:val="24"/>
        </w:rPr>
        <w:t xml:space="preserve">от 25 апреля 2023 года № 217;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4) пункт 6 </w:t>
      </w:r>
      <w:hyperlink w:history="1" r:id="rIdtt5s8vywyfl0rjmtu11x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</w:t>
      </w:r>
      <w:r>
        <w:rPr>
          <w:rFonts w:ascii="Arial" w:cs="Arial" w:eastAsia="Arial" w:hAnsi="Arial"/>
          <w:sz w:val="24"/>
          <w:szCs w:val="24"/>
        </w:rPr>
        <w:t xml:space="preserve">«О вопросах государственного учреждения «Национальная академия «Манас» от 16 мая 2023 года № 262;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5) </w:t>
      </w:r>
      <w:r>
        <w:rPr>
          <w:rFonts w:ascii="Arial" w:cs="Arial" w:eastAsia="Arial" w:hAnsi="Arial"/>
          <w:sz w:val="24"/>
          <w:szCs w:val="24"/>
        </w:rPr>
        <w:t xml:space="preserve">пункт 1 </w:t>
      </w:r>
      <w:hyperlink w:history="1" r:id="rIdqhg76rlpsqp3mjgyk85_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«О внесении изменений в некоторые постановления Кабинета Министров Кыргызской Республики в сфере условий оплаты труда» от 5 октября 2023 года № 525;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6) </w:t>
      </w:r>
      <w:r>
        <w:rPr>
          <w:rFonts w:ascii="Arial" w:cs="Arial" w:eastAsia="Arial" w:hAnsi="Arial"/>
          <w:sz w:val="24"/>
          <w:szCs w:val="24"/>
        </w:rPr>
        <w:t xml:space="preserve">пункт 2 </w:t>
      </w:r>
      <w:hyperlink w:history="1" r:id="rIdsz0-cb-6bcf8ataocv0u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</w:t>
      </w:r>
      <w:r>
        <w:rPr>
          <w:rFonts w:ascii="Arial" w:cs="Arial" w:eastAsia="Arial" w:hAnsi="Arial"/>
          <w:sz w:val="24"/>
          <w:szCs w:val="24"/>
        </w:rPr>
        <w:t xml:space="preserve">«О внесении изменений в некоторые решения Правительства Кыргызской Республики, Кабинета Министров Кыргызской Республики по вопросам Национального филиала Межгосударственной телерадиокомпании «Мир» от 4 декабря 2023 года № 635;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7) пункт 3 </w:t>
      </w:r>
      <w:hyperlink w:history="1" r:id="rIdtbqs1h3vkc5tgkvbqxil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</w:t>
      </w:r>
      <w:r>
        <w:rPr>
          <w:rFonts w:ascii="Arial" w:cs="Arial" w:eastAsia="Arial" w:hAnsi="Arial"/>
          <w:sz w:val="24"/>
          <w:szCs w:val="24"/>
        </w:rPr>
        <w:t xml:space="preserve">«О внесении изменений в некоторые постановления Правительства Кыргызской Республики, Кабинета Министров Кыргызской Республики в сфере культуры» от </w:t>
      </w:r>
      <w:r>
        <w:rPr>
          <w:rFonts w:ascii="Arial" w:cs="Arial" w:eastAsia="Arial" w:hAnsi="Arial"/>
          <w:sz w:val="24"/>
          <w:szCs w:val="24"/>
        </w:rPr>
        <w:t xml:space="preserve">29</w:t>
      </w:r>
      <w:r>
        <w:rPr>
          <w:rFonts w:ascii="Arial" w:cs="Arial" w:eastAsia="Arial" w:hAnsi="Arial"/>
          <w:sz w:val="24"/>
          <w:szCs w:val="24"/>
        </w:rPr>
        <w:t xml:space="preserve"> декабря 2023 года № </w:t>
      </w:r>
      <w:r>
        <w:rPr>
          <w:rFonts w:ascii="Arial" w:cs="Arial" w:eastAsia="Arial" w:hAnsi="Arial"/>
          <w:sz w:val="24"/>
          <w:szCs w:val="24"/>
        </w:rPr>
        <w:t xml:space="preserve">736;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8) пункт 4 </w:t>
      </w:r>
      <w:hyperlink w:history="1" r:id="rIdjvmu9mr8imtmr1t4cgem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</w:t>
      </w:r>
      <w:r>
        <w:rPr>
          <w:rFonts w:ascii="Arial" w:cs="Arial" w:eastAsia="Arial" w:hAnsi="Arial"/>
          <w:sz w:val="24"/>
          <w:szCs w:val="24"/>
        </w:rPr>
        <w:t xml:space="preserve">О внесении изменений в некоторые решения Правительства Кыргызской Республики, Кабинета Министров Кыргызской Республики в сфере средств массовой информации» от 24 июня 2024 года № 333;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9) пункт 6 </w:t>
      </w:r>
      <w:hyperlink w:history="1" r:id="rIdp-miq6ey81hxrx5mlhwb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</w:t>
      </w:r>
      <w:r>
        <w:rPr>
          <w:rFonts w:ascii="Arial" w:cs="Arial" w:eastAsia="Arial" w:hAnsi="Arial"/>
          <w:sz w:val="24"/>
          <w:szCs w:val="24"/>
        </w:rPr>
        <w:t xml:space="preserve">«О создании государственного учреждения «Культурно-интеграционный центр Шанхайской организации сотрудничества» от 2 декабря 2024 года № 719;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10) пункт 1 </w:t>
      </w:r>
      <w:hyperlink w:history="1" r:id="rIdlgmwalwyuzkxr8lpe9yz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</w:t>
      </w:r>
      <w:r>
        <w:rPr>
          <w:rFonts w:ascii="Arial" w:cs="Arial" w:eastAsia="Arial" w:hAnsi="Arial"/>
          <w:sz w:val="24"/>
          <w:szCs w:val="24"/>
        </w:rPr>
        <w:t xml:space="preserve">«О внесении изменений в некоторые постановления Кабинета Министров Кыргызской Республики в сфере культуры, информации и спорта» от 15 августа 2025 года № 499.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5. </w:t>
      </w:r>
      <w:r>
        <w:rPr>
          <w:rFonts w:ascii="Arial" w:cs="Arial" w:eastAsia="Arial" w:hAnsi="Arial"/>
          <w:sz w:val="24"/>
          <w:szCs w:val="24"/>
        </w:rPr>
        <w:t xml:space="preserve">Министерству финансов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 при разработке проекта Закона </w:t>
      </w: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 «</w:t>
      </w:r>
      <w:r>
        <w:rPr>
          <w:rFonts w:ascii="Arial" w:cs="Arial" w:eastAsia="Arial" w:hAnsi="Arial"/>
          <w:sz w:val="24"/>
          <w:szCs w:val="24"/>
        </w:rPr>
        <w:t xml:space="preserve">О внесении изменений</w:t>
      </w:r>
      <w:r>
        <w:rPr>
          <w:rFonts w:ascii="Arial" w:cs="Arial" w:eastAsia="Arial" w:hAnsi="Arial"/>
          <w:sz w:val="24"/>
          <w:szCs w:val="24"/>
        </w:rPr>
        <w:t xml:space="preserve">в Закон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«О республиканском бюджете Кыргызской Республики на 202</w:t>
      </w: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 год и плановый период 202</w:t>
      </w: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–202</w:t>
      </w:r>
      <w:r>
        <w:rPr>
          <w:rFonts w:ascii="Arial" w:cs="Arial" w:eastAsia="Arial" w:hAnsi="Arial"/>
          <w:sz w:val="24"/>
          <w:szCs w:val="24"/>
        </w:rPr>
        <w:t xml:space="preserve">8</w:t>
      </w:r>
      <w:r>
        <w:rPr>
          <w:rFonts w:ascii="Arial" w:cs="Arial" w:eastAsia="Arial" w:hAnsi="Arial"/>
          <w:sz w:val="24"/>
          <w:szCs w:val="24"/>
        </w:rPr>
        <w:t xml:space="preserve"> годов» </w:t>
      </w:r>
      <w:r>
        <w:rPr>
          <w:rFonts w:ascii="Arial" w:cs="Arial" w:eastAsia="Arial" w:hAnsi="Arial"/>
          <w:sz w:val="24"/>
          <w:szCs w:val="24"/>
        </w:rPr>
        <w:t xml:space="preserve">предусмотреть изменения,</w:t>
      </w:r>
      <w:r>
        <w:rPr>
          <w:rFonts w:ascii="Arial" w:cs="Arial" w:eastAsia="Arial" w:hAnsi="Arial"/>
          <w:sz w:val="24"/>
          <w:szCs w:val="24"/>
        </w:rPr>
        <w:t xml:space="preserve"> вытекающие из настоящего </w:t>
      </w:r>
      <w:r>
        <w:rPr>
          <w:rFonts w:ascii="Arial" w:cs="Arial" w:eastAsia="Arial" w:hAnsi="Arial"/>
          <w:sz w:val="24"/>
          <w:szCs w:val="24"/>
        </w:rPr>
        <w:t xml:space="preserve">постановления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6. </w:t>
      </w:r>
      <w:r>
        <w:rPr>
          <w:rFonts w:ascii="Arial" w:cs="Arial" w:eastAsia="Arial" w:hAnsi="Arial"/>
          <w:sz w:val="24"/>
          <w:szCs w:val="24"/>
        </w:rPr>
        <w:t xml:space="preserve">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7. </w:t>
      </w:r>
      <w:r>
        <w:rPr>
          <w:rFonts w:ascii="Arial" w:cs="Arial" w:eastAsia="Arial" w:hAnsi="Arial"/>
          <w:sz w:val="24"/>
          <w:szCs w:val="24"/>
        </w:rPr>
        <w:t xml:space="preserve">Настоящее постановление подлежит официальному опубликованию и вступает в силу с 1 </w:t>
      </w:r>
      <w:r>
        <w:rPr>
          <w:rFonts w:ascii="Arial" w:cs="Arial" w:eastAsia="Arial" w:hAnsi="Arial"/>
          <w:sz w:val="24"/>
          <w:szCs w:val="24"/>
        </w:rPr>
        <w:t xml:space="preserve">апреля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A.А. Касымалиев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Коэффициенты кратности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 должностным окладам работников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Государственной книжной палаты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292"/>
        <w:gridCol w:w="5565"/>
        <w:gridCol w:w="3321"/>
      </w:tblGrid>
      <w:tr>
        <w:tc>
          <w:tcPr>
            <w:tcW w:type="dxa" w:w="129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556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должности</w:t>
            </w:r>
          </w:p>
        </w:tc>
        <w:tc>
          <w:tcPr>
            <w:tcW w:type="dxa" w:w="332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Коэффициенты кратности</w:t>
            </w:r>
          </w:p>
        </w:tc>
      </w:tr>
      <w:tr>
        <w:tc>
          <w:tcPr>
            <w:tcW w:type="dxa" w:w="12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 Административно-управляющий персонал</w:t>
            </w:r>
          </w:p>
        </w:tc>
        <w:tc>
          <w:tcPr>
            <w:tcW w:type="dxa" w:w="33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</w:t>
            </w:r>
          </w:p>
        </w:tc>
        <w:tc>
          <w:tcPr>
            <w:tcW w:type="dxa" w:w="33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4,50</w:t>
            </w:r>
          </w:p>
        </w:tc>
      </w:tr>
      <w:tr>
        <w:tc>
          <w:tcPr>
            <w:tcW w:type="dxa" w:w="12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директора</w:t>
            </w:r>
          </w:p>
        </w:tc>
        <w:tc>
          <w:tcPr>
            <w:tcW w:type="dxa" w:w="33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4,20</w:t>
            </w:r>
          </w:p>
        </w:tc>
      </w:tr>
      <w:tr>
        <w:tc>
          <w:tcPr>
            <w:tcW w:type="dxa" w:w="12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бухгалтер</w:t>
            </w:r>
          </w:p>
        </w:tc>
        <w:tc>
          <w:tcPr>
            <w:tcW w:type="dxa" w:w="33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3,80</w:t>
            </w:r>
          </w:p>
        </w:tc>
      </w:tr>
      <w:tr>
        <w:tc>
          <w:tcPr>
            <w:tcW w:type="dxa" w:w="12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 Основной персонал</w:t>
            </w:r>
          </w:p>
        </w:tc>
        <w:tc>
          <w:tcPr>
            <w:tcW w:type="dxa" w:w="33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5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Бухгалтер</w:t>
            </w:r>
          </w:p>
        </w:tc>
        <w:tc>
          <w:tcPr>
            <w:tcW w:type="dxa" w:w="33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3,40</w:t>
            </w:r>
          </w:p>
        </w:tc>
      </w:tr>
      <w:tr>
        <w:tc>
          <w:tcPr>
            <w:tcW w:type="dxa" w:w="12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отделом</w:t>
            </w:r>
          </w:p>
        </w:tc>
        <w:tc>
          <w:tcPr>
            <w:tcW w:type="dxa" w:w="33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3,80</w:t>
            </w:r>
          </w:p>
        </w:tc>
      </w:tr>
      <w:tr>
        <w:tc>
          <w:tcPr>
            <w:tcW w:type="dxa" w:w="12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5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библиограф</w:t>
            </w:r>
          </w:p>
        </w:tc>
        <w:tc>
          <w:tcPr>
            <w:tcW w:type="dxa" w:w="33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3,40</w:t>
            </w:r>
          </w:p>
        </w:tc>
      </w:tr>
      <w:tr>
        <w:tc>
          <w:tcPr>
            <w:tcW w:type="dxa" w:w="12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5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Ведущий библиограф</w:t>
            </w:r>
          </w:p>
        </w:tc>
        <w:tc>
          <w:tcPr>
            <w:tcW w:type="dxa" w:w="33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3,10</w:t>
            </w:r>
          </w:p>
        </w:tc>
      </w:tr>
      <w:tr>
        <w:tc>
          <w:tcPr>
            <w:tcW w:type="dxa" w:w="12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5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 библиограф</w:t>
            </w:r>
          </w:p>
        </w:tc>
        <w:tc>
          <w:tcPr>
            <w:tcW w:type="dxa" w:w="33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2,85</w:t>
            </w:r>
          </w:p>
        </w:tc>
      </w:tr>
      <w:tr>
        <w:tc>
          <w:tcPr>
            <w:tcW w:type="dxa" w:w="12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5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Инспектор отдела кадров</w:t>
            </w:r>
          </w:p>
        </w:tc>
        <w:tc>
          <w:tcPr>
            <w:tcW w:type="dxa" w:w="33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3,10</w:t>
            </w:r>
          </w:p>
        </w:tc>
      </w:tr>
      <w:tr>
        <w:tc>
          <w:tcPr>
            <w:tcW w:type="dxa" w:w="12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Инженер по эксплуатации оборудования</w:t>
            </w:r>
          </w:p>
        </w:tc>
        <w:tc>
          <w:tcPr>
            <w:tcW w:type="dxa" w:w="33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3,10</w:t>
            </w:r>
          </w:p>
        </w:tc>
      </w:tr>
      <w:tr>
        <w:tc>
          <w:tcPr>
            <w:tcW w:type="dxa" w:w="12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3. Технический обслуживающий персонал</w:t>
            </w:r>
          </w:p>
        </w:tc>
        <w:tc>
          <w:tcPr>
            <w:tcW w:type="dxa" w:w="33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5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Секретарь-референт</w:t>
            </w:r>
          </w:p>
        </w:tc>
        <w:tc>
          <w:tcPr>
            <w:tcW w:type="dxa" w:w="33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2,00</w:t>
            </w:r>
          </w:p>
        </w:tc>
      </w:tr>
      <w:tr>
        <w:tc>
          <w:tcPr>
            <w:tcW w:type="dxa" w:w="12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5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Электрик, сантехник</w:t>
            </w:r>
          </w:p>
        </w:tc>
        <w:tc>
          <w:tcPr>
            <w:tcW w:type="dxa" w:w="33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2,10</w:t>
            </w:r>
          </w:p>
        </w:tc>
      </w:tr>
      <w:tr>
        <w:tc>
          <w:tcPr>
            <w:tcW w:type="dxa" w:w="12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5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Водитель легкового автомобиля</w:t>
            </w:r>
          </w:p>
        </w:tc>
        <w:tc>
          <w:tcPr>
            <w:tcW w:type="dxa" w:w="33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2,65</w:t>
            </w:r>
          </w:p>
        </w:tc>
      </w:tr>
      <w:tr>
        <w:tc>
          <w:tcPr>
            <w:tcW w:type="dxa" w:w="12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4. Младший обслуживающий персонал</w:t>
            </w:r>
          </w:p>
        </w:tc>
        <w:tc>
          <w:tcPr>
            <w:tcW w:type="dxa" w:w="33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5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Дворник, садовник</w:t>
            </w:r>
          </w:p>
        </w:tc>
        <w:tc>
          <w:tcPr>
            <w:tcW w:type="dxa" w:w="33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1,80</w:t>
            </w:r>
          </w:p>
        </w:tc>
      </w:tr>
      <w:tr>
        <w:tc>
          <w:tcPr>
            <w:tcW w:type="dxa" w:w="12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5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Рабочий по обслуживанию и текущему ремонту зданий, рабочий по благоустройству населенных пунктов, уборщик служебных помещений, территорий</w:t>
            </w:r>
          </w:p>
        </w:tc>
        <w:tc>
          <w:tcPr>
            <w:tcW w:type="dxa" w:w="33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1,80</w:t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Коэффициенты кратности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 должностным окладам работников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Национального культурного центра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295"/>
        <w:gridCol w:w="5557"/>
        <w:gridCol w:w="3327"/>
      </w:tblGrid>
      <w:tr>
        <w:tc>
          <w:tcPr>
            <w:tcW w:type="dxa" w:w="129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555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должности</w:t>
            </w:r>
          </w:p>
        </w:tc>
        <w:tc>
          <w:tcPr>
            <w:tcW w:type="dxa" w:w="33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Коэффициенты кратности</w:t>
            </w:r>
          </w:p>
        </w:tc>
      </w:tr>
      <w:tr>
        <w:tc>
          <w:tcPr>
            <w:tcW w:type="dxa" w:w="1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 Административно-управляющий персонал</w:t>
            </w:r>
          </w:p>
        </w:tc>
        <w:tc>
          <w:tcPr>
            <w:tcW w:type="dxa" w:w="3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</w:t>
            </w:r>
          </w:p>
        </w:tc>
        <w:tc>
          <w:tcPr>
            <w:tcW w:type="dxa" w:w="3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4,50</w:t>
            </w:r>
          </w:p>
        </w:tc>
      </w:tr>
      <w:tr>
        <w:tc>
          <w:tcPr>
            <w:tcW w:type="dxa" w:w="1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директора</w:t>
            </w:r>
          </w:p>
        </w:tc>
        <w:tc>
          <w:tcPr>
            <w:tcW w:type="dxa" w:w="3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4,20</w:t>
            </w:r>
          </w:p>
        </w:tc>
      </w:tr>
      <w:tr>
        <w:tc>
          <w:tcPr>
            <w:tcW w:type="dxa" w:w="1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бухгалтер</w:t>
            </w:r>
          </w:p>
        </w:tc>
        <w:tc>
          <w:tcPr>
            <w:tcW w:type="dxa" w:w="3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3,80</w:t>
            </w:r>
          </w:p>
        </w:tc>
      </w:tr>
      <w:tr>
        <w:tc>
          <w:tcPr>
            <w:tcW w:type="dxa" w:w="1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 Основной персонал</w:t>
            </w:r>
          </w:p>
        </w:tc>
        <w:tc>
          <w:tcPr>
            <w:tcW w:type="dxa" w:w="3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5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отдела</w:t>
            </w:r>
          </w:p>
        </w:tc>
        <w:tc>
          <w:tcPr>
            <w:tcW w:type="dxa" w:w="3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3,80</w:t>
            </w:r>
          </w:p>
        </w:tc>
      </w:tr>
      <w:tr>
        <w:tc>
          <w:tcPr>
            <w:tcW w:type="dxa" w:w="1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режиссер</w:t>
            </w:r>
          </w:p>
        </w:tc>
        <w:tc>
          <w:tcPr>
            <w:tcW w:type="dxa" w:w="3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3,60</w:t>
            </w:r>
          </w:p>
        </w:tc>
      </w:tr>
      <w:tr>
        <w:tc>
          <w:tcPr>
            <w:tcW w:type="dxa" w:w="1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5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сектором</w:t>
            </w:r>
          </w:p>
        </w:tc>
        <w:tc>
          <w:tcPr>
            <w:tcW w:type="dxa" w:w="3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3,50</w:t>
            </w:r>
          </w:p>
        </w:tc>
      </w:tr>
      <w:tr>
        <w:tc>
          <w:tcPr>
            <w:tcW w:type="dxa" w:w="1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5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Юрист</w:t>
            </w:r>
          </w:p>
        </w:tc>
        <w:tc>
          <w:tcPr>
            <w:tcW w:type="dxa" w:w="3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3,40</w:t>
            </w:r>
          </w:p>
        </w:tc>
      </w:tr>
      <w:tr>
        <w:tc>
          <w:tcPr>
            <w:tcW w:type="dxa" w:w="1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5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специалист, бухгалтер</w:t>
            </w:r>
          </w:p>
        </w:tc>
        <w:tc>
          <w:tcPr>
            <w:tcW w:type="dxa" w:w="3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3,40</w:t>
            </w:r>
          </w:p>
        </w:tc>
      </w:tr>
      <w:tr>
        <w:tc>
          <w:tcPr>
            <w:tcW w:type="dxa" w:w="1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5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Ведущий специалист</w:t>
            </w:r>
          </w:p>
        </w:tc>
        <w:tc>
          <w:tcPr>
            <w:tcW w:type="dxa" w:w="3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3,10</w:t>
            </w:r>
          </w:p>
        </w:tc>
      </w:tr>
      <w:tr>
        <w:tc>
          <w:tcPr>
            <w:tcW w:type="dxa" w:w="1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Специалист-делопроизводитель</w:t>
            </w:r>
          </w:p>
        </w:tc>
        <w:tc>
          <w:tcPr>
            <w:tcW w:type="dxa" w:w="3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2,85</w:t>
            </w:r>
          </w:p>
        </w:tc>
      </w:tr>
      <w:tr>
        <w:tc>
          <w:tcPr>
            <w:tcW w:type="dxa" w:w="1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5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Системный администратор</w:t>
            </w:r>
          </w:p>
        </w:tc>
        <w:tc>
          <w:tcPr>
            <w:tcW w:type="dxa" w:w="3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2,85</w:t>
            </w:r>
          </w:p>
        </w:tc>
      </w:tr>
      <w:tr>
        <w:tc>
          <w:tcPr>
            <w:tcW w:type="dxa" w:w="1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3. Технический обслуживающий персонал</w:t>
            </w:r>
          </w:p>
        </w:tc>
        <w:tc>
          <w:tcPr>
            <w:tcW w:type="dxa" w:w="3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5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хозяйством</w:t>
            </w:r>
          </w:p>
        </w:tc>
        <w:tc>
          <w:tcPr>
            <w:tcW w:type="dxa" w:w="3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2,65</w:t>
            </w:r>
          </w:p>
        </w:tc>
      </w:tr>
      <w:tr>
        <w:tc>
          <w:tcPr>
            <w:tcW w:type="dxa" w:w="1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5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Водитель легкового автомобиля</w:t>
            </w:r>
          </w:p>
        </w:tc>
        <w:tc>
          <w:tcPr>
            <w:tcW w:type="dxa" w:w="3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2,65</w:t>
            </w:r>
          </w:p>
        </w:tc>
      </w:tr>
      <w:tr>
        <w:tc>
          <w:tcPr>
            <w:tcW w:type="dxa" w:w="1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5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Сантехник</w:t>
            </w:r>
          </w:p>
        </w:tc>
        <w:tc>
          <w:tcPr>
            <w:tcW w:type="dxa" w:w="3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2,10</w:t>
            </w:r>
          </w:p>
        </w:tc>
      </w:tr>
      <w:tr>
        <w:tc>
          <w:tcPr>
            <w:tcW w:type="dxa" w:w="1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4. Младший обслуживающий персонал</w:t>
            </w:r>
          </w:p>
        </w:tc>
        <w:tc>
          <w:tcPr>
            <w:tcW w:type="dxa" w:w="3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5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Уборщик служебных помещений</w:t>
            </w:r>
          </w:p>
        </w:tc>
        <w:tc>
          <w:tcPr>
            <w:tcW w:type="dxa" w:w="3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1,80</w:t>
            </w:r>
          </w:p>
        </w:tc>
      </w:tr>
      <w:tr>
        <w:tc>
          <w:tcPr>
            <w:tcW w:type="dxa" w:w="1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5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Дворник</w:t>
            </w:r>
          </w:p>
        </w:tc>
        <w:tc>
          <w:tcPr>
            <w:tcW w:type="dxa" w:w="3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1,80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Примечание. Установить, что работникам Национального культурного центра за ненормированный рабочий день выплачивается надбавка в размере 25 процентов от должностного оклада по решению руководителя.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 Приложение 3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Коэффициенты кратности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 должностным окладам работников государственного учреждения «Культурно-интеграционный центр Шанхайской организации сотрудничества»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295"/>
        <w:gridCol w:w="5557"/>
        <w:gridCol w:w="3327"/>
      </w:tblGrid>
      <w:tr>
        <w:tc>
          <w:tcPr>
            <w:tcW w:type="dxa" w:w="129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555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должности</w:t>
            </w:r>
          </w:p>
        </w:tc>
        <w:tc>
          <w:tcPr>
            <w:tcW w:type="dxa" w:w="33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Коэффициенты кратности</w:t>
            </w:r>
          </w:p>
        </w:tc>
      </w:tr>
      <w:tr>
        <w:tc>
          <w:tcPr>
            <w:tcW w:type="dxa" w:w="1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 Административно-управляющий персонал</w:t>
            </w:r>
          </w:p>
        </w:tc>
        <w:tc>
          <w:tcPr>
            <w:tcW w:type="dxa" w:w="3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</w:t>
            </w:r>
          </w:p>
        </w:tc>
        <w:tc>
          <w:tcPr>
            <w:tcW w:type="dxa" w:w="3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4,50</w:t>
            </w:r>
          </w:p>
        </w:tc>
      </w:tr>
      <w:tr>
        <w:tc>
          <w:tcPr>
            <w:tcW w:type="dxa" w:w="1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директора</w:t>
            </w:r>
          </w:p>
        </w:tc>
        <w:tc>
          <w:tcPr>
            <w:tcW w:type="dxa" w:w="3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4,20</w:t>
            </w:r>
          </w:p>
        </w:tc>
      </w:tr>
      <w:tr>
        <w:tc>
          <w:tcPr>
            <w:tcW w:type="dxa" w:w="1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 Основной персонал</w:t>
            </w:r>
          </w:p>
        </w:tc>
        <w:tc>
          <w:tcPr>
            <w:tcW w:type="dxa" w:w="3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Бухгалтер</w:t>
            </w:r>
          </w:p>
        </w:tc>
        <w:tc>
          <w:tcPr>
            <w:tcW w:type="dxa" w:w="3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3,40</w:t>
            </w:r>
          </w:p>
        </w:tc>
      </w:tr>
      <w:tr>
        <w:tc>
          <w:tcPr>
            <w:tcW w:type="dxa" w:w="1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5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Юрист</w:t>
            </w:r>
          </w:p>
        </w:tc>
        <w:tc>
          <w:tcPr>
            <w:tcW w:type="dxa" w:w="3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3,40</w:t>
            </w:r>
          </w:p>
        </w:tc>
      </w:tr>
      <w:tr>
        <w:tc>
          <w:tcPr>
            <w:tcW w:type="dxa" w:w="1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Пресс-секретарь</w:t>
            </w:r>
          </w:p>
        </w:tc>
        <w:tc>
          <w:tcPr>
            <w:tcW w:type="dxa" w:w="3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3,40</w:t>
            </w:r>
          </w:p>
        </w:tc>
      </w:tr>
      <w:tr>
        <w:tc>
          <w:tcPr>
            <w:tcW w:type="dxa" w:w="1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5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Маркетолог</w:t>
            </w:r>
          </w:p>
        </w:tc>
        <w:tc>
          <w:tcPr>
            <w:tcW w:type="dxa" w:w="3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3,40</w:t>
            </w:r>
          </w:p>
        </w:tc>
      </w:tr>
      <w:tr>
        <w:tc>
          <w:tcPr>
            <w:tcW w:type="dxa" w:w="1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5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специалист</w:t>
            </w:r>
          </w:p>
        </w:tc>
        <w:tc>
          <w:tcPr>
            <w:tcW w:type="dxa" w:w="3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3,40</w:t>
            </w:r>
          </w:p>
        </w:tc>
      </w:tr>
      <w:tr>
        <w:tc>
          <w:tcPr>
            <w:tcW w:type="dxa" w:w="1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5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Ведущий специалист</w:t>
            </w:r>
          </w:p>
        </w:tc>
        <w:tc>
          <w:tcPr>
            <w:tcW w:type="dxa" w:w="3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3,10</w:t>
            </w:r>
          </w:p>
        </w:tc>
      </w:tr>
      <w:tr>
        <w:tc>
          <w:tcPr>
            <w:tcW w:type="dxa" w:w="1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3. Технический обслуживающий персонал</w:t>
            </w:r>
          </w:p>
        </w:tc>
        <w:tc>
          <w:tcPr>
            <w:tcW w:type="dxa" w:w="3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5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Водитель легкового автомобиля</w:t>
            </w:r>
          </w:p>
        </w:tc>
        <w:tc>
          <w:tcPr>
            <w:tcW w:type="dxa" w:w="3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2,65</w:t>
            </w:r>
          </w:p>
        </w:tc>
      </w:tr>
      <w:tr>
        <w:tc>
          <w:tcPr>
            <w:tcW w:type="dxa" w:w="1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4. Младший обслуживающий персонал</w:t>
            </w:r>
          </w:p>
        </w:tc>
        <w:tc>
          <w:tcPr>
            <w:tcW w:type="dxa" w:w="3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Уборщик служебных помещений</w:t>
            </w:r>
          </w:p>
        </w:tc>
        <w:tc>
          <w:tcPr>
            <w:tcW w:type="dxa" w:w="3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1,80</w:t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4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Коэффициенты кратности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 должностным окладам работников Республиканской инспекции по охране памятников истории и культуры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295"/>
        <w:gridCol w:w="5557"/>
        <w:gridCol w:w="3327"/>
      </w:tblGrid>
      <w:tr>
        <w:tc>
          <w:tcPr>
            <w:tcW w:type="dxa" w:w="129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555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должности</w:t>
            </w:r>
          </w:p>
        </w:tc>
        <w:tc>
          <w:tcPr>
            <w:tcW w:type="dxa" w:w="33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Коэффициенты кратности</w:t>
            </w:r>
          </w:p>
        </w:tc>
      </w:tr>
      <w:tr>
        <w:tc>
          <w:tcPr>
            <w:tcW w:type="dxa" w:w="1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 Административно-управляющий персонал</w:t>
            </w:r>
          </w:p>
        </w:tc>
        <w:tc>
          <w:tcPr>
            <w:tcW w:type="dxa" w:w="3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</w:t>
            </w:r>
          </w:p>
        </w:tc>
        <w:tc>
          <w:tcPr>
            <w:tcW w:type="dxa" w:w="3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4,50</w:t>
            </w:r>
          </w:p>
        </w:tc>
      </w:tr>
      <w:tr>
        <w:tc>
          <w:tcPr>
            <w:tcW w:type="dxa" w:w="1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бухгалтер</w:t>
            </w:r>
          </w:p>
        </w:tc>
        <w:tc>
          <w:tcPr>
            <w:tcW w:type="dxa" w:w="3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3,80</w:t>
            </w:r>
          </w:p>
        </w:tc>
      </w:tr>
      <w:tr>
        <w:tc>
          <w:tcPr>
            <w:tcW w:type="dxa" w:w="1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 Основной персонал</w:t>
            </w:r>
          </w:p>
        </w:tc>
        <w:tc>
          <w:tcPr>
            <w:tcW w:type="dxa" w:w="3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специалист</w:t>
            </w:r>
          </w:p>
        </w:tc>
        <w:tc>
          <w:tcPr>
            <w:tcW w:type="dxa" w:w="3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3,40</w:t>
            </w:r>
          </w:p>
        </w:tc>
      </w:tr>
      <w:tr>
        <w:tc>
          <w:tcPr>
            <w:tcW w:type="dxa" w:w="1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5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Ведущий специалист</w:t>
            </w:r>
          </w:p>
        </w:tc>
        <w:tc>
          <w:tcPr>
            <w:tcW w:type="dxa" w:w="3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3,10</w:t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5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Коэффициенты кратности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 должностным окладам работников учреждения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«Научно-исследовательский проектный институт «Кыргызреставрация» при Министерстве культуры, информации и молодежной политики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295"/>
        <w:gridCol w:w="5557"/>
        <w:gridCol w:w="3327"/>
      </w:tblGrid>
      <w:tr>
        <w:tc>
          <w:tcPr>
            <w:tcW w:type="dxa" w:w="129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555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должности</w:t>
            </w:r>
          </w:p>
        </w:tc>
        <w:tc>
          <w:tcPr>
            <w:tcW w:type="dxa" w:w="33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Коэффициенты кратности</w:t>
            </w:r>
          </w:p>
        </w:tc>
      </w:tr>
      <w:tr>
        <w:tc>
          <w:tcPr>
            <w:tcW w:type="dxa" w:w="1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 Административно-управляющий персонал</w:t>
            </w:r>
          </w:p>
        </w:tc>
        <w:tc>
          <w:tcPr>
            <w:tcW w:type="dxa" w:w="3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</w:t>
            </w:r>
          </w:p>
        </w:tc>
        <w:tc>
          <w:tcPr>
            <w:tcW w:type="dxa" w:w="3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4,50</w:t>
            </w:r>
          </w:p>
        </w:tc>
      </w:tr>
      <w:tr>
        <w:tc>
          <w:tcPr>
            <w:tcW w:type="dxa" w:w="1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директора по науке</w:t>
            </w:r>
          </w:p>
        </w:tc>
        <w:tc>
          <w:tcPr>
            <w:tcW w:type="dxa" w:w="3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3,80</w:t>
            </w:r>
          </w:p>
        </w:tc>
      </w:tr>
      <w:tr>
        <w:tc>
          <w:tcPr>
            <w:tcW w:type="dxa" w:w="1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 Основной персонал</w:t>
            </w:r>
          </w:p>
        </w:tc>
        <w:tc>
          <w:tcPr>
            <w:tcW w:type="dxa" w:w="3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Бухгалтер</w:t>
            </w:r>
          </w:p>
        </w:tc>
        <w:tc>
          <w:tcPr>
            <w:tcW w:type="dxa" w:w="3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3,40</w:t>
            </w:r>
          </w:p>
        </w:tc>
      </w:tr>
      <w:tr>
        <w:tc>
          <w:tcPr>
            <w:tcW w:type="dxa" w:w="1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5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архитектор проектов</w:t>
            </w:r>
          </w:p>
        </w:tc>
        <w:tc>
          <w:tcPr>
            <w:tcW w:type="dxa" w:w="3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3,40</w:t>
            </w:r>
          </w:p>
        </w:tc>
      </w:tr>
      <w:tr>
        <w:tc>
          <w:tcPr>
            <w:tcW w:type="dxa" w:w="1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технолог</w:t>
            </w:r>
          </w:p>
        </w:tc>
        <w:tc>
          <w:tcPr>
            <w:tcW w:type="dxa" w:w="3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3,40</w:t>
            </w:r>
          </w:p>
        </w:tc>
      </w:tr>
      <w:tr>
        <w:tc>
          <w:tcPr>
            <w:tcW w:type="dxa" w:w="1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5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специалист</w:t>
            </w:r>
          </w:p>
        </w:tc>
        <w:tc>
          <w:tcPr>
            <w:tcW w:type="dxa" w:w="3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3,40</w:t>
            </w:r>
          </w:p>
        </w:tc>
      </w:tr>
      <w:tr>
        <w:tc>
          <w:tcPr>
            <w:tcW w:type="dxa" w:w="1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5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Ведущий архитектор</w:t>
            </w:r>
          </w:p>
        </w:tc>
        <w:tc>
          <w:tcPr>
            <w:tcW w:type="dxa" w:w="3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3,10</w:t>
            </w:r>
          </w:p>
        </w:tc>
      </w:tr>
      <w:tr>
        <w:tc>
          <w:tcPr>
            <w:tcW w:type="dxa" w:w="1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5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Архитектор-реставратор</w:t>
            </w:r>
          </w:p>
        </w:tc>
        <w:tc>
          <w:tcPr>
            <w:tcW w:type="dxa" w:w="3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3,00</w:t>
            </w:r>
          </w:p>
        </w:tc>
      </w:tr>
      <w:tr>
        <w:tc>
          <w:tcPr>
            <w:tcW w:type="dxa" w:w="1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5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Архитектор-техник</w:t>
            </w:r>
          </w:p>
        </w:tc>
        <w:tc>
          <w:tcPr>
            <w:tcW w:type="dxa" w:w="3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2,85</w:t>
            </w:r>
          </w:p>
        </w:tc>
      </w:tr>
      <w:tr>
        <w:tc>
          <w:tcPr>
            <w:tcW w:type="dxa" w:w="1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Инженер-сметчик</w:t>
            </w:r>
          </w:p>
        </w:tc>
        <w:tc>
          <w:tcPr>
            <w:tcW w:type="dxa" w:w="3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3,00</w:t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    Приложение 6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Коэффициенты кратности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 должностным окладам работников централизованных бухгалтерий при учреждениях и организациях культуры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63"/>
        <w:gridCol w:w="2741"/>
        <w:gridCol w:w="3387"/>
        <w:gridCol w:w="3387"/>
      </w:tblGrid>
      <w:tr>
        <w:tc>
          <w:tcPr>
            <w:tcW w:type="dxa" w:w="663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741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должности</w:t>
            </w:r>
          </w:p>
        </w:tc>
        <w:tc>
          <w:tcPr>
            <w:tcW w:type="dxa" w:w="6774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Коэффициенты кратности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3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Централизованные бухгалтерии, обслуживающие республиканские учреждения и города республиканского значения</w:t>
            </w:r>
          </w:p>
        </w:tc>
        <w:tc>
          <w:tcPr>
            <w:tcW w:type="dxa" w:w="33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Централизованные бухгалтерии, обслуживающие областные, городские и районные учреждения</w:t>
            </w:r>
          </w:p>
        </w:tc>
      </w:tr>
      <w:tr>
        <w:tc>
          <w:tcPr>
            <w:tcW w:type="dxa" w:w="6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 Основной персонал</w:t>
            </w:r>
          </w:p>
        </w:tc>
        <w:tc>
          <w:tcPr>
            <w:tcW w:type="dxa" w:w="33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7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бухгалтер</w:t>
            </w:r>
          </w:p>
        </w:tc>
        <w:tc>
          <w:tcPr>
            <w:tcW w:type="dxa" w:w="33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4,20</w:t>
            </w:r>
          </w:p>
        </w:tc>
        <w:tc>
          <w:tcPr>
            <w:tcW w:type="dxa" w:w="33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4,10</w:t>
            </w:r>
          </w:p>
        </w:tc>
      </w:tr>
      <w:tr>
        <w:tc>
          <w:tcPr>
            <w:tcW w:type="dxa" w:w="6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7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главного бухгалтера</w:t>
            </w:r>
          </w:p>
        </w:tc>
        <w:tc>
          <w:tcPr>
            <w:tcW w:type="dxa" w:w="33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3,60</w:t>
            </w:r>
          </w:p>
        </w:tc>
        <w:tc>
          <w:tcPr>
            <w:tcW w:type="dxa" w:w="33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7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Руководитель группы учета</w:t>
            </w:r>
          </w:p>
        </w:tc>
        <w:tc>
          <w:tcPr>
            <w:tcW w:type="dxa" w:w="33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3,50</w:t>
            </w:r>
          </w:p>
        </w:tc>
        <w:tc>
          <w:tcPr>
            <w:tcW w:type="dxa" w:w="33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3,40</w:t>
            </w:r>
          </w:p>
        </w:tc>
      </w:tr>
      <w:tr>
        <w:tc>
          <w:tcPr>
            <w:tcW w:type="dxa" w:w="6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7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Бухгалтер</w:t>
            </w:r>
          </w:p>
        </w:tc>
        <w:tc>
          <w:tcPr>
            <w:tcW w:type="dxa" w:w="33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3,40</w:t>
            </w:r>
          </w:p>
        </w:tc>
        <w:tc>
          <w:tcPr>
            <w:tcW w:type="dxa" w:w="33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3,15</w:t>
            </w:r>
          </w:p>
        </w:tc>
      </w:tr>
      <w:tr>
        <w:tc>
          <w:tcPr>
            <w:tcW w:type="dxa" w:w="6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7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Бухгалтер-кассир</w:t>
            </w:r>
          </w:p>
        </w:tc>
        <w:tc>
          <w:tcPr>
            <w:tcW w:type="dxa" w:w="33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3,10</w:t>
            </w:r>
          </w:p>
        </w:tc>
        <w:tc>
          <w:tcPr>
            <w:tcW w:type="dxa" w:w="33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 Приложение 7 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Коэффициенты кратности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 должностным окладам работников государственного учреждения «Национальная академия «Манас»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295"/>
        <w:gridCol w:w="5557"/>
        <w:gridCol w:w="3327"/>
      </w:tblGrid>
      <w:tr>
        <w:tc>
          <w:tcPr>
            <w:tcW w:type="dxa" w:w="129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555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должности</w:t>
            </w:r>
          </w:p>
        </w:tc>
        <w:tc>
          <w:tcPr>
            <w:tcW w:type="dxa" w:w="33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Коэффициенты кратности</w:t>
            </w:r>
          </w:p>
        </w:tc>
      </w:tr>
      <w:tr>
        <w:tc>
          <w:tcPr>
            <w:tcW w:type="dxa" w:w="1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 Административно-управляющий персонал</w:t>
            </w:r>
          </w:p>
        </w:tc>
        <w:tc>
          <w:tcPr>
            <w:tcW w:type="dxa" w:w="3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Президент</w:t>
            </w:r>
          </w:p>
        </w:tc>
        <w:tc>
          <w:tcPr>
            <w:tcW w:type="dxa" w:w="3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6,60</w:t>
            </w:r>
          </w:p>
        </w:tc>
      </w:tr>
      <w:tr>
        <w:tc>
          <w:tcPr>
            <w:tcW w:type="dxa" w:w="1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Вице-президент</w:t>
            </w:r>
          </w:p>
        </w:tc>
        <w:tc>
          <w:tcPr>
            <w:tcW w:type="dxa" w:w="3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5,50</w:t>
            </w:r>
          </w:p>
        </w:tc>
      </w:tr>
      <w:tr>
        <w:tc>
          <w:tcPr>
            <w:tcW w:type="dxa" w:w="1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бухгалтер</w:t>
            </w:r>
          </w:p>
        </w:tc>
        <w:tc>
          <w:tcPr>
            <w:tcW w:type="dxa" w:w="3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4,05</w:t>
            </w:r>
          </w:p>
        </w:tc>
      </w:tr>
      <w:tr>
        <w:tc>
          <w:tcPr>
            <w:tcW w:type="dxa" w:w="1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 Основной персонал</w:t>
            </w:r>
          </w:p>
        </w:tc>
        <w:tc>
          <w:tcPr>
            <w:tcW w:type="dxa" w:w="3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5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Ученый секретарь</w:t>
            </w:r>
          </w:p>
        </w:tc>
        <w:tc>
          <w:tcPr>
            <w:tcW w:type="dxa" w:w="3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4,95</w:t>
            </w:r>
          </w:p>
        </w:tc>
      </w:tr>
      <w:tr>
        <w:tc>
          <w:tcPr>
            <w:tcW w:type="dxa" w:w="1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Руководитель центра</w:t>
            </w:r>
          </w:p>
        </w:tc>
        <w:tc>
          <w:tcPr>
            <w:tcW w:type="dxa" w:w="3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4,20</w:t>
            </w:r>
          </w:p>
        </w:tc>
      </w:tr>
      <w:tr>
        <w:tc>
          <w:tcPr>
            <w:tcW w:type="dxa" w:w="1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5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отделом</w:t>
            </w:r>
          </w:p>
        </w:tc>
        <w:tc>
          <w:tcPr>
            <w:tcW w:type="dxa" w:w="3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3,30</w:t>
            </w:r>
          </w:p>
        </w:tc>
      </w:tr>
      <w:tr>
        <w:tc>
          <w:tcPr>
            <w:tcW w:type="dxa" w:w="1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5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сектором</w:t>
            </w:r>
          </w:p>
        </w:tc>
        <w:tc>
          <w:tcPr>
            <w:tcW w:type="dxa" w:w="3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3,20</w:t>
            </w:r>
          </w:p>
        </w:tc>
      </w:tr>
      <w:tr>
        <w:tc>
          <w:tcPr>
            <w:tcW w:type="dxa" w:w="1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5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специалист</w:t>
            </w:r>
          </w:p>
        </w:tc>
        <w:tc>
          <w:tcPr>
            <w:tcW w:type="dxa" w:w="3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2,50</w:t>
            </w:r>
          </w:p>
        </w:tc>
      </w:tr>
      <w:tr>
        <w:tc>
          <w:tcPr>
            <w:tcW w:type="dxa" w:w="1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5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Ведущий специалист</w:t>
            </w:r>
          </w:p>
        </w:tc>
        <w:tc>
          <w:tcPr>
            <w:tcW w:type="dxa" w:w="3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2,40</w:t>
            </w:r>
          </w:p>
        </w:tc>
      </w:tr>
      <w:tr>
        <w:tc>
          <w:tcPr>
            <w:tcW w:type="dxa" w:w="1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 1 категории</w:t>
            </w:r>
          </w:p>
        </w:tc>
        <w:tc>
          <w:tcPr>
            <w:tcW w:type="dxa" w:w="3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2,35</w:t>
            </w:r>
          </w:p>
        </w:tc>
      </w:tr>
      <w:tr>
        <w:tc>
          <w:tcPr>
            <w:tcW w:type="dxa" w:w="1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3. Технический обслуживающий персонал</w:t>
            </w:r>
          </w:p>
        </w:tc>
        <w:tc>
          <w:tcPr>
            <w:tcW w:type="dxa" w:w="3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5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хозяйством</w:t>
            </w:r>
          </w:p>
        </w:tc>
        <w:tc>
          <w:tcPr>
            <w:tcW w:type="dxa" w:w="3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2,65</w:t>
            </w:r>
          </w:p>
        </w:tc>
      </w:tr>
      <w:tr>
        <w:tc>
          <w:tcPr>
            <w:tcW w:type="dxa" w:w="1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5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Водитель легкового автомобиля</w:t>
            </w:r>
          </w:p>
        </w:tc>
        <w:tc>
          <w:tcPr>
            <w:tcW w:type="dxa" w:w="3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2,65</w:t>
            </w:r>
          </w:p>
        </w:tc>
      </w:tr>
      <w:tr>
        <w:tc>
          <w:tcPr>
            <w:tcW w:type="dxa" w:w="1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5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Электрик</w:t>
            </w:r>
          </w:p>
        </w:tc>
        <w:tc>
          <w:tcPr>
            <w:tcW w:type="dxa" w:w="3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2,10</w:t>
            </w:r>
          </w:p>
        </w:tc>
      </w:tr>
      <w:tr>
        <w:tc>
          <w:tcPr>
            <w:tcW w:type="dxa" w:w="1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5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Сантехник</w:t>
            </w:r>
          </w:p>
        </w:tc>
        <w:tc>
          <w:tcPr>
            <w:tcW w:type="dxa" w:w="3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2,10</w:t>
            </w:r>
          </w:p>
        </w:tc>
      </w:tr>
      <w:tr>
        <w:tc>
          <w:tcPr>
            <w:tcW w:type="dxa" w:w="1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4. Младший обслуживающий персонал</w:t>
            </w:r>
          </w:p>
        </w:tc>
        <w:tc>
          <w:tcPr>
            <w:tcW w:type="dxa" w:w="3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5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Дворник</w:t>
            </w:r>
          </w:p>
        </w:tc>
        <w:tc>
          <w:tcPr>
            <w:tcW w:type="dxa" w:w="3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1,80</w:t>
            </w:r>
          </w:p>
        </w:tc>
      </w:tr>
      <w:tr>
        <w:tc>
          <w:tcPr>
            <w:tcW w:type="dxa" w:w="1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5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Сторож</w:t>
            </w:r>
          </w:p>
        </w:tc>
        <w:tc>
          <w:tcPr>
            <w:tcW w:type="dxa" w:w="3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1,80</w:t>
            </w:r>
          </w:p>
        </w:tc>
      </w:tr>
      <w:tr>
        <w:tc>
          <w:tcPr>
            <w:tcW w:type="dxa" w:w="1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5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Уборщик служебных помещений и зала</w:t>
            </w:r>
          </w:p>
        </w:tc>
        <w:tc>
          <w:tcPr>
            <w:tcW w:type="dxa" w:w="3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1,80</w:t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8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Коэффициенты кратности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 должностным окладам работников Комитета по государственным премиям имени Токтогула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295"/>
        <w:gridCol w:w="5557"/>
        <w:gridCol w:w="3327"/>
      </w:tblGrid>
      <w:tr>
        <w:tc>
          <w:tcPr>
            <w:tcW w:type="dxa" w:w="129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555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должности</w:t>
            </w:r>
          </w:p>
        </w:tc>
        <w:tc>
          <w:tcPr>
            <w:tcW w:type="dxa" w:w="33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Коэффициенты кратности</w:t>
            </w:r>
          </w:p>
        </w:tc>
      </w:tr>
      <w:tr>
        <w:tc>
          <w:tcPr>
            <w:tcW w:type="dxa" w:w="1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 Административно-управляющий персонал</w:t>
            </w:r>
          </w:p>
        </w:tc>
        <w:tc>
          <w:tcPr>
            <w:tcW w:type="dxa" w:w="3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Председатель</w:t>
            </w:r>
          </w:p>
        </w:tc>
        <w:tc>
          <w:tcPr>
            <w:tcW w:type="dxa" w:w="3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2,13</w:t>
            </w:r>
          </w:p>
        </w:tc>
      </w:tr>
      <w:tr>
        <w:tc>
          <w:tcPr>
            <w:tcW w:type="dxa" w:w="1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 Основной персонал</w:t>
            </w:r>
          </w:p>
        </w:tc>
        <w:tc>
          <w:tcPr>
            <w:tcW w:type="dxa" w:w="3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Ответственный секретарь</w:t>
            </w:r>
          </w:p>
        </w:tc>
        <w:tc>
          <w:tcPr>
            <w:tcW w:type="dxa" w:w="3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1,49</w:t>
            </w:r>
          </w:p>
        </w:tc>
      </w:tr>
      <w:tr>
        <w:tc>
          <w:tcPr>
            <w:tcW w:type="dxa" w:w="1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Бухгалтер</w:t>
            </w:r>
          </w:p>
        </w:tc>
        <w:tc>
          <w:tcPr>
            <w:tcW w:type="dxa" w:w="3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1,41</w:t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 Приложение 9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Размеры
  процентных надбавок за выслугу лет работникам подведомственных учреждений государственных органов, не являющимся государственными служащими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295"/>
        <w:gridCol w:w="5557"/>
        <w:gridCol w:w="3327"/>
      </w:tblGrid>
      <w:tr>
        <w:tc>
          <w:tcPr>
            <w:tcW w:type="dxa" w:w="129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555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Стаж работы</w:t>
            </w:r>
          </w:p>
        </w:tc>
        <w:tc>
          <w:tcPr>
            <w:tcW w:type="dxa" w:w="33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Размеры процентных надбавок (%)</w:t>
            </w:r>
          </w:p>
        </w:tc>
      </w:tr>
      <w:tr>
        <w:tc>
          <w:tcPr>
            <w:tcW w:type="dxa" w:w="1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одного до трех лет</w:t>
            </w:r>
          </w:p>
        </w:tc>
        <w:tc>
          <w:tcPr>
            <w:tcW w:type="dxa" w:w="3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1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трех до пяти лет</w:t>
            </w:r>
          </w:p>
        </w:tc>
        <w:tc>
          <w:tcPr>
            <w:tcW w:type="dxa" w:w="3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1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пяти до десяти лет</w:t>
            </w:r>
          </w:p>
        </w:tc>
        <w:tc>
          <w:tcPr>
            <w:tcW w:type="dxa" w:w="3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</w:tr>
      <w:tr>
        <w:tc>
          <w:tcPr>
            <w:tcW w:type="dxa" w:w="1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5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десяти до пятнадцати лет</w:t>
            </w:r>
          </w:p>
        </w:tc>
        <w:tc>
          <w:tcPr>
            <w:tcW w:type="dxa" w:w="3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</w:tr>
      <w:tr>
        <w:tc>
          <w:tcPr>
            <w:tcW w:type="dxa" w:w="1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пятнадцати до двадцати лет</w:t>
            </w:r>
          </w:p>
        </w:tc>
        <w:tc>
          <w:tcPr>
            <w:tcW w:type="dxa" w:w="3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</w:tr>
      <w:tr>
        <w:tc>
          <w:tcPr>
            <w:tcW w:type="dxa" w:w="1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5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двадцати до двадцати пяти лет</w:t>
            </w:r>
          </w:p>
        </w:tc>
        <w:tc>
          <w:tcPr>
            <w:tcW w:type="dxa" w:w="3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</w:tr>
      <w:tr>
        <w:tc>
          <w:tcPr>
            <w:tcW w:type="dxa" w:w="12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5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Свыше двадцати пяти лет</w:t>
            </w:r>
          </w:p>
        </w:tc>
        <w:tc>
          <w:tcPr>
            <w:tcW w:type="dxa" w:w="3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Надбавки за выслугу лет устанавливаются за стаж работы в государственных органах, а также в подведомственных учреждениях, организациях и предприятиях центральных органов государственного управления, министерств, комитета, административных ведомств.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Надбавки за выслугу лет начисляются на должностной оклад без учета других надбавок и доплат.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3. Стаж работы для выплаты ежемесячной надбавки за выслугу лет определяется комиссией по установлению трудового стажа. Состав комиссии по установлению трудового стажа утверждается руководителем организации.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4. Комиссия по установлению трудового стажа вправе в исключительных случаях, с целью привлечения квалифицированных кадров, принять решение о включении периода работы по профессии в стаж работы для начисления надбавки за выслугу лет.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5. Выплата надбавок за выслугу лет производится ежемесячно, дифференцировано, в зависимости от стажа работы, дающего право на получение этой надбавки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wl0fz9ng84b9nqndo4b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dalil.kg/document/230045124</w:t>
      </w:r>
    </w:hyperlink>
  </w:p>
  <w:p>
    <w:pPr>
      <w:spacing w:after="0" w:before="40"/>
      <w:jc w:val="center"/>
    </w:pPr>
    <w:hyperlink w:history="1" r:id="rIdha5ueeskov0ozvg2dkpd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dpsqpsajbstfdtgjthus" Type="http://schemas.openxmlformats.org/officeDocument/2006/relationships/hyperlink" Target="https://dalil.kg/document/230043758" TargetMode="External"/><Relationship Id="rId8jlhd0ymiogn5jfa4ihnt" Type="http://schemas.openxmlformats.org/officeDocument/2006/relationships/hyperlink" Target="https://dalil.kg/document/230045124#pr1" TargetMode="External"/><Relationship Id="rIdqx7alypkitf-5lhaf28mu" Type="http://schemas.openxmlformats.org/officeDocument/2006/relationships/hyperlink" Target="https://dalil.kg/document/230045124#pr8" TargetMode="External"/><Relationship Id="rIdkcecfdg7y9i-ohsoxzyku" Type="http://schemas.openxmlformats.org/officeDocument/2006/relationships/hyperlink" Target="https://dalil.kg/document/230045124#pr9" TargetMode="External"/><Relationship Id="rId77gy4aoiycaxcbmmzqoax" Type="http://schemas.openxmlformats.org/officeDocument/2006/relationships/hyperlink" Target="https://dalil.kg/document/159064" TargetMode="External"/><Relationship Id="rIdbutanmilj7toxhrmq1vec" Type="http://schemas.openxmlformats.org/officeDocument/2006/relationships/hyperlink" Target="https://dalil.kg/document/160040" TargetMode="External"/><Relationship Id="rIdbmnpqjtbpryiucaknoolz" Type="http://schemas.openxmlformats.org/officeDocument/2006/relationships/hyperlink" Target="https://dalil.kg/document/230000576" TargetMode="External"/><Relationship Id="rIdtt5s8vywyfl0rjmtu11xr" Type="http://schemas.openxmlformats.org/officeDocument/2006/relationships/hyperlink" Target="https://dalil.kg/document/160187" TargetMode="External"/><Relationship Id="rIdqhg76rlpsqp3mjgyk85_k" Type="http://schemas.openxmlformats.org/officeDocument/2006/relationships/hyperlink" Target="https://dalil.kg/document/160453" TargetMode="External"/><Relationship Id="rIdsz0-cb-6bcf8ataocv0uy" Type="http://schemas.openxmlformats.org/officeDocument/2006/relationships/hyperlink" Target="https://dalil.kg/document/230000139" TargetMode="External"/><Relationship Id="rIdtbqs1h3vkc5tgkvbqxill" Type="http://schemas.openxmlformats.org/officeDocument/2006/relationships/hyperlink" Target="https://dalil.kg/document/230001317" TargetMode="External"/><Relationship Id="rIdjvmu9mr8imtmr1t4cgem8" Type="http://schemas.openxmlformats.org/officeDocument/2006/relationships/hyperlink" Target="https://dalil.kg/document/230012381" TargetMode="External"/><Relationship Id="rIdp-miq6ey81hxrx5mlhwb-" Type="http://schemas.openxmlformats.org/officeDocument/2006/relationships/hyperlink" Target="https://dalil.kg/document/230018713" TargetMode="External"/><Relationship Id="rIdlgmwalwyuzkxr8lpe9yzl" Type="http://schemas.openxmlformats.org/officeDocument/2006/relationships/hyperlink" Target="https://dalil.kg/document/230030759" TargetMode="External"/><Relationship Id="rId8" Type="http://schemas.openxmlformats.org/officeDocument/2006/relationships/image" Target="media/8de64316e95979c063c17bcd5380dc052a2594e9.png"/><Relationship Id="rId2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wl0fz9ng84b9nqndo4bm" Type="http://schemas.openxmlformats.org/officeDocument/2006/relationships/hyperlink" Target="https://dalil.kg/document/230045124" TargetMode="External"/><Relationship Id="rIdha5ueeskov0ozvg2dkpd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2026-09-24T09:11:59.609Z</dcterms:created>
  <dcterms:modified xsi:type="dcterms:W3CDTF">2026-09-24T09:11:59.609Z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