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2026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минимальных социальных норм содержания получателей государственных услуг,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проживающих в учреждениях социального стационарного обслуживания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Министерства труда, социального обеспечения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целях актуализации социальны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х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норм и улучшения качества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социального стационарного обслуживания в учреждениях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Министерства труда, социального обеспечения и миграции Кыргызской Республики, в соответствии с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 статьями </w:t>
      </w:r>
      <w:hyperlink w:history="1" r:id="rId84db0mfuaqfp_xerwavch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 </w:t>
      </w:r>
      <w:hyperlink w:history="1" r:id="rIdbvdvie6n2mqh0zrnmn_9k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Закона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Кыргызской Республики «Об основах социального обслуживания населения в Кыргызской Республике»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 статьей 7 Закона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Кыргызской Республики «О государственных минимальных социальных стандартах»,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статьями </w:t>
      </w:r>
      <w:hyperlink w:history="1" r:id="rIdmbxfa-owe33z_ebznm8iw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 </w:t>
      </w:r>
      <w:hyperlink w:history="1" r:id="rIdwebyxvqpposr9sqrf12oe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инимальные социальные нормы содержания получателей государственных услуг, </w:t>
      </w:r>
      <w:r>
        <w:rPr>
          <w:rFonts w:ascii="Arial" w:cs="Arial" w:eastAsia="Arial" w:hAnsi="Arial"/>
          <w:sz w:val="24"/>
          <w:szCs w:val="24"/>
        </w:rPr>
        <w:t xml:space="preserve">проживающих в учреждениях </w:t>
      </w:r>
      <w:r>
        <w:rPr>
          <w:rFonts w:ascii="Arial" w:cs="Arial" w:eastAsia="Arial" w:hAnsi="Arial"/>
          <w:sz w:val="24"/>
          <w:szCs w:val="24"/>
        </w:rPr>
        <w:t xml:space="preserve">социального стационарного обслуживания </w:t>
      </w:r>
      <w:r>
        <w:rPr>
          <w:rFonts w:ascii="Arial" w:cs="Arial" w:eastAsia="Arial" w:hAnsi="Arial"/>
          <w:sz w:val="24"/>
          <w:szCs w:val="24"/>
        </w:rPr>
        <w:t xml:space="preserve">Министерства </w:t>
      </w:r>
      <w:r>
        <w:rPr>
          <w:rFonts w:ascii="Arial" w:cs="Arial" w:eastAsia="Arial" w:hAnsi="Arial"/>
          <w:sz w:val="24"/>
          <w:szCs w:val="24"/>
        </w:rPr>
        <w:t xml:space="preserve">труда, социального обеспечения и миграции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b4guf6xvsackhrirdcv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Министерству труда, социального обеспечения и миграции Кыргызской Республики: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 составлении проекта бюджета обеспечить соблюдение минимальных социальных норм </w:t>
      </w:r>
      <w:r>
        <w:rPr>
          <w:rFonts w:ascii="Arial" w:cs="Arial" w:eastAsia="Arial" w:hAnsi="Arial"/>
          <w:sz w:val="24"/>
          <w:szCs w:val="24"/>
        </w:rPr>
        <w:t xml:space="preserve">содержания </w:t>
      </w:r>
      <w:r>
        <w:rPr>
          <w:rFonts w:ascii="Arial" w:cs="Arial" w:eastAsia="Arial" w:hAnsi="Arial"/>
          <w:sz w:val="24"/>
          <w:szCs w:val="24"/>
        </w:rPr>
        <w:t xml:space="preserve">получателей государственных услуг, проживающих в учреждениях социального стационарного обслуживания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 направить в Министерство финансов Кыргызской Республики необходимые финансово-экономические расчеты;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постановлением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принять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stizdddn5uzzysm8vos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«Об утверждении государственных минимальных социальных стандартов содержания получателей государственных услуг социальных стационарных учреждений и центров реабилитации Министерства труда, социального обеспечения и миграции Кыргызской Республики» от 30 декабря 2007 года № 640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пункт 1 </w:t>
      </w:r>
      <w:hyperlink w:history="1" r:id="rIdoj47na5t3j_uqmqy4ke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16 января 2014 года № 30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hyperlink w:history="1" r:id="rIdmvdz90kodkxgha6dpnt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государственных минимальных социальных стандартов содержания получателей услуг социальных стационарных учреждений и Центра реабилитации лиц с ограниченными возможностями здоровья при Министерстве социального развития Кыргызской Республики» от 30 декабря 2007 года № 640» от 14 июля 2015 года № 492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hyperlink w:history="1" r:id="rId9sdj2pr0kgc5woosgwj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государственных минимальных социальных стандартов содержания получателей услуг социальных стационарных учреждений и Центра реабилитации лиц с ограниченными возможностями здоровья при Министерстве социального развития Кыргызской Республики» от 30 декабря 2007 года № 640» от 6 декабря 2019 года № 667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пункт 1 </w:t>
      </w:r>
      <w:hyperlink w:history="1" r:id="rIdr5o2gaahxdxqg1iqgge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по денежным нормам питания в учреждениях социальной сферы» от 30 декабря 2021 года № 358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hyperlink w:history="1" r:id="rIdauh_d157ewejwwbhf71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Правительства Кыргызской Республики «Об утверждении государственных минимальных социальных стандартов содержания получателей услуг социальных стационарных учреждений и центров реабилитации для лиц с ограниченными возможностями здоровья при Министерстве труда и социального развития Кыргызской Республики» от 30 декабря 2007 года № 640» от 24 июля 2023 года № 372.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 дней </w:t>
      </w: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 мая 2026 года № 33 (3793)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Минимальные социальные нормы содержания получателей государственных услуг, проживающих в учреждениях социального стационарного обслуживания Министерства труда, социального обеспечения и миграции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Нормы жилой площади на одного человека в учреждениях социального стационарного обслуживания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36"/>
        <w:gridCol w:w="1707"/>
        <w:gridCol w:w="2335"/>
      </w:tblGrid>
      <w:tr>
        <w:tc>
          <w:tcPr>
            <w:tcW w:type="dxa" w:w="61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учреждений социального стационарного обслуживания</w:t>
            </w:r>
          </w:p>
        </w:tc>
        <w:tc>
          <w:tcPr>
            <w:tcW w:type="dxa" w:w="17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жилой площади на 1 человека</w:t>
            </w:r>
          </w:p>
        </w:tc>
      </w:tr>
      <w:tr>
        <w:tc>
          <w:tcPr>
            <w:tcW w:type="dxa" w:w="6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социального стационарного обслуживания для пожилых граждан и лиц с инвалидностью для взрослых</w:t>
            </w:r>
          </w:p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кв.м</w:t>
            </w:r>
          </w:p>
        </w:tc>
      </w:tr>
      <w:tr>
        <w:tc>
          <w:tcPr>
            <w:tcW w:type="dxa" w:w="6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Психоневрологическое учреждение социального стационарного обслуживания для взрослых</w:t>
            </w:r>
          </w:p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кв.м</w:t>
            </w:r>
          </w:p>
        </w:tc>
      </w:tr>
      <w:tr>
        <w:tc>
          <w:tcPr>
            <w:tcW w:type="dxa" w:w="6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социального стационарного обслуживания для детей с инвалидностью</w:t>
            </w:r>
          </w:p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кв.м</w:t>
            </w:r>
          </w:p>
        </w:tc>
      </w:tr>
      <w:tr>
        <w:tc>
          <w:tcPr>
            <w:tcW w:type="dxa" w:w="6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Психоневрологическое учреждение социального стационарного обслуживания для детей</w:t>
            </w:r>
          </w:p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кв.м</w:t>
            </w:r>
          </w:p>
        </w:tc>
      </w:tr>
      <w:tr>
        <w:tc>
          <w:tcPr>
            <w:tcW w:type="dxa" w:w="6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социального стационарного обслуживания для детей, находящихся в трудной жизненной ситуации</w:t>
            </w:r>
          </w:p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кв.м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Социальные нормы и сроки пользования одеждой, обувью и постельными принадлежностями в учреждениях социального стационарного обслуживания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1"/>
        <w:gridCol w:w="2311"/>
        <w:gridCol w:w="3466"/>
      </w:tblGrid>
      <w:tr>
        <w:tc>
          <w:tcPr>
            <w:tcW w:type="dxa" w:w="4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человека</w:t>
            </w:r>
          </w:p>
        </w:tc>
        <w:tc>
          <w:tcPr>
            <w:tcW w:type="dxa" w:w="3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использования (в годах)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Для проживающих в учреждениях социального стационарного обслуживания для пожилых граждан, лиц с инвалидностью, а также детей с инвалидностью и детей, находящихся в трудной жизненной ситуации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Пальто, куртка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женский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мужской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 хлопчатобумажное или штапельное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Верхняя рубашка (кофта) хлопчатобумажная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Юбка (брюки) хлопчатобумажная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Ботинки, туфли (летние)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Ботинки, сапоги (зимние)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Головной убор (зимний)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Головной убор (летний)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шерстяные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пары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(чулки) хлопчатобумажные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пар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 (колготки) шерстяные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Носовой платок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Платок (женский)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Платок полушерстяной (женский)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байковый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хлопчатобумажный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Пижама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Джемпер, кофта шерстяная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 трикотажная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(женские и для девочек)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(мужские и для мальчиков)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Для проживающих в психоневрологических учреждениях социального стационарного обслуживания для взрослых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Пальто, куртка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 хлопчатобумажное или штапельное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Верхняя рубашка (кофта) хлопчатобумажная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Юбка (брюки) хлопчатобумажная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костюм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Ботинки, туфли (летние)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Ботинки, сапоги (зимние)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Головной убор (зимний)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Головной убор (летний)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шерстяные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пары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(чулки) хлопчатобумажные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пар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 (колготки) шерстяные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Носовой платок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Платок (женский)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Платок полушерстяной (женский)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байковый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хлопчатобумажный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Пижама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Джемпер, кофта шерстяная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 трикотажная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(женские)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(мужские)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Сланцы резиновые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Для проживающих в психоневрологических учреждениях социального стационарного обслуживания для детей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Пальто, куртка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 хлопчатобумажное или штапельное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Верхняя рубашка (кофта) хлопчатобумажная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Юбка (брюки) хлопчатобумажная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байковый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хлопчатобумажный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Пижама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Джемпер, кофта шерстяная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 трикотажная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 трикотажная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Головной убор (зимний)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Головной убор (летний)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шерстяные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пар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хлопчатобумажные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пар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Колготки шерстяные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Носовой платок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для девочек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для мальчиков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зимние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Спортивная обувь (кроссовки)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Сланцы резиновые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4. Постельные принадлежности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постельного белья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компл.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Наволочка для подушки (нижняя)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 вафельное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 махровое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шерстяное или ватное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байковое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Подушка синтепоновая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Покрывало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Покрывало пикейное хлопчатобумажное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Пеленка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шт.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Социальные нормы обеспечения мягкой мебелью, твердым инвентарем и оргтехникой в учреждениях социального стационарного обслуживания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46"/>
        <w:gridCol w:w="2063"/>
        <w:gridCol w:w="3770"/>
      </w:tblGrid>
      <w:tr>
        <w:tc>
          <w:tcPr>
            <w:tcW w:type="dxa" w:w="43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</w:t>
            </w:r>
          </w:p>
        </w:tc>
        <w:tc>
          <w:tcPr>
            <w:tcW w:type="dxa" w:w="3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использования (в годах)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чел.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прикроватная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чел.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 полумягкий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чел.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Ложка из нержавеющей стали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чел.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Чашки для первых и вторых блюд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чел.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Кружка эмалированная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чел.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комната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Шифоньер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комната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Мягкая мебель - диван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группа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Шторы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окно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Занавески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окно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Карнизы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окно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Прикроватные коврики, дорожки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комната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на тумбочки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чел.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Скатерть на стол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комната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Телевизор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корпус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Клеенка (для пищеблока)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Письменный стол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шт./1 учреж.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шт./1 учреж.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Принтер "3 в 1"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шт./1 учреж.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Цветной принтер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шт./1 учреж.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Проектор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учреж.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Камера видеонаблюдения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шт./1 учреж.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Кресло офисное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шт./1 учреж.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канцелярских принадлежностей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компл./1 учреж.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развивающих игрушек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компл./1 учреж.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раздвижной для холла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шт./1 учреж.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Ведро эмалированное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шт./1 учреж.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Ведро оцинкованное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шт./1 учреж.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 алюминиевый или оцинкованный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шт./1 учреж.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 пластмассовый</w:t>
            </w:r>
          </w:p>
        </w:tc>
        <w:tc>
          <w:tcPr>
            <w:tcW w:type="dxa" w:w="2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шт./1 учреж.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учреждениях социального стационарного обслуживания нормы обеспечения оргтехникой и нормы, устанавливаемые на одно учреждение, утверждаются приказом уполномоченного органа в сфере труда, социального обеспечения и миграции с учетом фактической мощности учреждения и численности административного персонала.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Социальные нормы обеспечения мыломоющими средствами и санитарно-гигиеническими предметами индивидуального пользования в учреждениях социального стационарного обслуживания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2"/>
        <w:gridCol w:w="2411"/>
        <w:gridCol w:w="4465"/>
      </w:tblGrid>
      <w:tr>
        <w:tc>
          <w:tcPr>
            <w:tcW w:type="dxa" w:w="33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человека</w:t>
            </w:r>
          </w:p>
        </w:tc>
        <w:tc>
          <w:tcPr>
            <w:tcW w:type="dxa" w:w="44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использования (в днях, месяцах)</w:t>
            </w:r>
          </w:p>
        </w:tc>
      </w:tr>
      <w:tr>
        <w:tc>
          <w:tcPr>
            <w:tcW w:type="dxa" w:w="33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Зубная паста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</w:t>
            </w:r>
          </w:p>
        </w:tc>
        <w:tc>
          <w:tcPr>
            <w:tcW w:type="dxa" w:w="4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</w:tc>
      </w:tr>
      <w:tr>
        <w:tc>
          <w:tcPr>
            <w:tcW w:type="dxa" w:w="33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Зубная щетка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4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месяца</w:t>
            </w:r>
          </w:p>
        </w:tc>
      </w:tr>
      <w:tr>
        <w:tc>
          <w:tcPr>
            <w:tcW w:type="dxa" w:w="33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Подгузники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4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</w:tc>
      </w:tr>
      <w:tr>
        <w:tc>
          <w:tcPr>
            <w:tcW w:type="dxa" w:w="33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Женские гигиенические пакеты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шт.</w:t>
            </w:r>
          </w:p>
        </w:tc>
        <w:tc>
          <w:tcPr>
            <w:tcW w:type="dxa" w:w="4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</w:tr>
      <w:tr>
        <w:tc>
          <w:tcPr>
            <w:tcW w:type="dxa" w:w="33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Туалетное мыло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4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</w:tr>
      <w:tr>
        <w:tc>
          <w:tcPr>
            <w:tcW w:type="dxa" w:w="33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Хозяйственное мыло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4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</w:tr>
      <w:tr>
        <w:tc>
          <w:tcPr>
            <w:tcW w:type="dxa" w:w="33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Шампунь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г</w:t>
            </w:r>
          </w:p>
        </w:tc>
        <w:tc>
          <w:tcPr>
            <w:tcW w:type="dxa" w:w="4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санитарной обработке одного унитаза или одной напольной чаши туалета используется 5 кг дезинфицирующих (чистящих) средств в месяц.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стирке белья и изделий из других видов тканей используются синтетические моющие средства (стиральный порошок) - 30 г на 0,5 кг белья и изделий из других видов тканей в день.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стирке белья и изделий из других видов тканей расходуется сода кальцинированная - 30 г на 0,3 кг белья и изделий из других видов тканей в день.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мытье посуды используется чистящее средство для посуды - 180 грамм в месяц.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санитарной обработке одного унитаза или одной напольной чаши туалета используется 3 г хлора в день.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дезинфекции белья и изделий из других видов тканей используется 2 г хлора на 3 кг белья и изделий из других видов тканей в день.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Социальные физиологические продуктовые наборы и нормы для учреждений социального стационарного обслуживания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3"/>
        <w:gridCol w:w="1379"/>
        <w:gridCol w:w="1379"/>
        <w:gridCol w:w="1379"/>
        <w:gridCol w:w="1379"/>
        <w:gridCol w:w="1379"/>
        <w:gridCol w:w="989"/>
        <w:gridCol w:w="1631"/>
      </w:tblGrid>
      <w:tr>
        <w:tc>
          <w:tcPr>
            <w:tcW w:type="dxa" w:w="6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95"/>
            <w:gridSpan w:val="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  <w:tc>
          <w:tcPr>
            <w:tcW w:type="dxa" w:w="1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(г)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Рекомендуемые суточные продуктовые наборы и нормы для пожилых граждан и лиц с инвалидностью, проживающих в учреждениях социального стационарного обслуживания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Хлеб, крупа и другие зернопродукты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ржаной, серый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 (рисовая, гречневая, овсяная, перловая, пшенная и т.д.) и бобовые (фасоль, маш, нут и т.д.)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панировочные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Овощи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овощи, зелень, бахчевые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Томатное пюре или паста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Фрукты и соки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 фрукты, ягоды, орехи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натуральные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Мясо и мясопродукты, птица, яйцо и рыба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(говядина, баранина, конина, мясо яка)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Колбасные изделия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(шт.)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Молоко и молочные продукты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Айран, кефир, ряженка, йогурт, кумыс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Масла и жировые продукты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Кондитерские изделия и другие продукты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Сахар*, кондитерские изделия (мед, варенье, конфеты, выпечка)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 порошок, кофейный напиток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пищевая поваренная йодированная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Рекомендуемые суточные продуктовые наборы и нормы для взрослых граждан, проживающих в психоневрологических учреждениях социального стационарного обслуживания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Хлеб, крупа и другие зернопродукты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ржаной, серый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 (рисовая, гречневая, овсяная, перловая, пшенная и т.д.) и бобовые (фасоль, маш, нут и т.д.)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панировочные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Овощи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овощи, зелень, бахчевые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Томатное пюре или паста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Фрукты и соки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 фрукты, ягоды, орехи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натуральные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Мясо и мясопродукты, птица, яйцо и рыба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(говядина, баранина, конина, мясо яка)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Колбасные изделия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(шт.)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Молоко и молочные продукты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Айран, кефир, ряженка, йогурт, кумыс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Масла и жировые продукты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Кондитерские изделия и другие продукты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Сахар*, кондитерские изделия (мед, варенье, конфеты, выпечка)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 порошок, кофейный напиток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пищевая поваренная йодированная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8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Рекомендуемые суточные продуктовые наборы и нормы для детей инвалидов с особенностями психофизического развития</w:t>
            </w:r>
          </w:p>
        </w:tc>
      </w:tr>
      <w:tr>
        <w:tc>
          <w:tcPr>
            <w:tcW w:type="dxa" w:w="6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41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Дети 4-10 лет</w:t>
            </w:r>
          </w:p>
        </w:tc>
        <w:tc>
          <w:tcPr>
            <w:tcW w:type="dxa" w:w="39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Дети 11-17 лет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(г)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(г)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(г)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(г)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Хлеб, крупа и другие зернопродукты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ржаной, серый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 (рисовая, гречневая, овсяная, перловая, пшенная и т.д.) и бобовые (фасоль, маш, нут и т.д.)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Макароны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панировочные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Овощи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овощи, зелень, бахчевые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Томатное пюре или паста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Фрукты и соки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 фрукты, ягоды, орехи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натуральные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Мясо и мясопродукты, птица, яйцо и рыба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(говядина, баранина, конина, мясо яка)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Колбасные изделия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Куры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(шт.)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Молоко и молочные продукты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Айран, кефир, ряженка, йогурт, кумыс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Масла и жировые продукты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Кондитерские изделия и другие продукты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Сахар*, кондитерские изделия (мед, варенье, конфеты, выпечка)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 порошок, кофейный напиток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пищевая поваренная йодированная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Специи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4. Рекомендуемая пищевая ценность продуктового набора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Рекомендуемая пищевая ценность продуктового набора для пожилых граждан и лиц с инвалидностью, проживающих в учреждениях социального стационарного обслуживания</w:t>
            </w:r>
          </w:p>
        </w:tc>
      </w:tr>
      <w:tr>
        <w:tc>
          <w:tcPr>
            <w:tcW w:type="dxa" w:w="204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 (г)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 (г)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 (г)</w:t>
            </w:r>
          </w:p>
        </w:tc>
        <w:tc>
          <w:tcPr>
            <w:tcW w:type="dxa" w:w="39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Энергетическая ценность (ккал)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</w:tr>
      <w:tr>
        <w:tc>
          <w:tcPr>
            <w:tcW w:type="dxa" w:w="204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39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2239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tcW w:type="dxa" w:w="204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39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1791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Рекомендуемая пищевая ценность продуктового набора для взрослых граждан, проживающих в психоневрологических учреждениях социального стационарного обслуживания</w:t>
            </w:r>
          </w:p>
        </w:tc>
      </w:tr>
      <w:tr>
        <w:tc>
          <w:tcPr>
            <w:tcW w:type="dxa" w:w="204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 (г)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 (г)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 (г)</w:t>
            </w:r>
          </w:p>
        </w:tc>
        <w:tc>
          <w:tcPr>
            <w:tcW w:type="dxa" w:w="39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Энергетическая ценность (ккал)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</w:tr>
      <w:tr>
        <w:tc>
          <w:tcPr>
            <w:tcW w:type="dxa" w:w="204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39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2351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tcW w:type="dxa" w:w="204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7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39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1874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Рекомендуемая пищевая ценность продуктового набора для детей инвалидов с особенностями психофизического развития</w:t>
            </w:r>
          </w:p>
        </w:tc>
      </w:tr>
      <w:tr>
        <w:tc>
          <w:tcPr>
            <w:tcW w:type="dxa" w:w="48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Дети 4-10 лет</w:t>
            </w:r>
          </w:p>
        </w:tc>
        <w:tc>
          <w:tcPr>
            <w:tcW w:type="dxa" w:w="537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Дети 11-17 лет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 (г)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 (г)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 (г)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Энергетическая ценность (калл)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 (г)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 (г)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 (г)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Энергетическая ценность (ккал)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1765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2157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1589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1941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(*) в чистом виде не более 48 г в день;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 пшеничной муки - 30 г, если выпечка и кондитерские изделия будут готовиться каждый день;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 пшеничной муки - 15 г, если выпечка и кондитерские изделия будут готовиться через день;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куры, мясо закупаются I категории;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рыба может быть использована свежая и свежемороженая, предпочтительно морская. В качестве бутерброда может быть использована соленая сельдь или рыбные консервы;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сахар не применяется при использовании конфет, меда, варенья. Для граждан, страдающих сахарным диабетом, норма сахара пропорционально заменять на заменитель сахара (например, сорбит, ксилит);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допускается замена продуктов на продукты, равноценные по составу, в случае их отсутствия;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летний период используются свежие фрукты, овощи и зелень, в зимний период - сухофрукты (для компотов);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меню наименования блюд чередуются, не допускается повторение одних и тех же блюд или кулинарных изделий в один и тот же день или смежные дни;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перспективное меню формируется не менее чем на 14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обязателен весовой контроль продуктов при приготовлении блюд согласно расчетам по технологическим (кулинарным) картам, меню-раскладкам;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допустимые отклонения суточной физиологической продуктовой нормы и суточной денежной нормы в меню, а также механизм установления цены на продукты и товары, поступившие по гуманитарной линии без стоимости, продукты из подсобного хозяйства учреждения, утверждаются приказом уполномоченного органа в сфере труда, социального обеспечения и миграции;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допустимые потери при первичной обработке продуктов (между брутто и нетто) и тепловой обработки, утверждаются приказом уполномоченного органа в сфере труда, социального обеспечения и миграции.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Суточные нормы обеспечения лекарственными препаратами в учреждениях социального стационарного обслуживания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69"/>
        <w:gridCol w:w="2809"/>
      </w:tblGrid>
      <w:tr>
        <w:tc>
          <w:tcPr>
            <w:tcW w:type="dxa" w:w="7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учреждений социального стационарного обслуживания</w:t>
            </w:r>
          </w:p>
        </w:tc>
        <w:tc>
          <w:tcPr>
            <w:tcW w:type="dxa" w:w="2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Суточная норма на 1 человека (сомов)</w:t>
            </w:r>
          </w:p>
        </w:tc>
      </w:tr>
      <w:tr>
        <w:tc>
          <w:tcPr>
            <w:tcW w:type="dxa" w:w="7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социального стационарного обслуживания для пожилых граждан и лиц с инвалидностью для взрослых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Психоневрологическое учреждение социального стационарного обслуживания для взрослых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7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социального стационарного обслуживания для детей с инвалидностью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7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Психоневрологическое учреждение социального стационарного обслуживания для детей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7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социального стационарного обслуживания для детей, находящихся в трудной жизненной ситуации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нормы содержания получателей государственных услуг в учреждениях социального стационарного обслуживания подлежат ежегодному пересмотру;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дорогостоящих товаров и мебели осуществляется за счет гуманитарной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рекомендуется муниципальным и негосударственным социальным учреждениям использовать социальные нормы содержания получателей государственных услуг, допускаются изменения установленных размеров и объемов в сторону увеличения за счет средств местного бюджета или средств, не запрещенных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4db0mfuaqfp_xerwavch" Type="http://schemas.openxmlformats.org/officeDocument/2006/relationships/hyperlink" Target="http://kodeks.duckdns.org/document/943#st_6" TargetMode="External"/><Relationship Id="rIdbvdvie6n2mqh0zrnmn_9k" Type="http://schemas.openxmlformats.org/officeDocument/2006/relationships/hyperlink" Target="http://kodeks.duckdns.org/document/943#st_12" TargetMode="External"/><Relationship Id="rIdmbxfa-owe33z_ebznm8iw" Type="http://schemas.openxmlformats.org/officeDocument/2006/relationships/hyperlink" Target="http://kodeks.duckdns.org/document/112301#st_13" TargetMode="External"/><Relationship Id="rIdwebyxvqpposr9sqrf12oe" Type="http://schemas.openxmlformats.org/officeDocument/2006/relationships/hyperlink" Target="http://kodeks.duckdns.org/document/112301#st_17" TargetMode="External"/><Relationship Id="rIdb4guf6xvsackhrirdcv_l" Type="http://schemas.openxmlformats.org/officeDocument/2006/relationships/hyperlink" Target="http://kodeks.duckdns.org/document/230045160#pr" TargetMode="External"/><Relationship Id="rIdstizdddn5uzzysm8vos30" Type="http://schemas.openxmlformats.org/officeDocument/2006/relationships/hyperlink" Target="http://kodeks.duckdns.org/document/58824" TargetMode="External"/><Relationship Id="rIdoj47na5t3j_uqmqy4keij" Type="http://schemas.openxmlformats.org/officeDocument/2006/relationships/hyperlink" Target="http://kodeks.duckdns.org/document/157324" TargetMode="External"/><Relationship Id="rIdmvdz90kodkxgha6dpntqt" Type="http://schemas.openxmlformats.org/officeDocument/2006/relationships/hyperlink" Target="http://kodeks.duckdns.org/document/97878" TargetMode="External"/><Relationship Id="rId9sdj2pr0kgc5woosgwjn1" Type="http://schemas.openxmlformats.org/officeDocument/2006/relationships/hyperlink" Target="http://kodeks.duckdns.org/document/157325" TargetMode="External"/><Relationship Id="rIdr5o2gaahxdxqg1iqggejb" Type="http://schemas.openxmlformats.org/officeDocument/2006/relationships/hyperlink" Target="http://kodeks.duckdns.org/document/158865" TargetMode="External"/><Relationship Id="rIdauh_d157ewejwwbhf71ie" Type="http://schemas.openxmlformats.org/officeDocument/2006/relationships/hyperlink" Target="http://kodeks.duckdns.org/document/160315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2026-09-23T08:19:20.913Z</dcterms:created>
  <dcterms:modified xsi:type="dcterms:W3CDTF">2026-09-23T08:19:20.913Z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