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Обратите внимание!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Настоящее постановление вступает в силу с 1 января 2026 года,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за исключением абзаца третьего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пункта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который вступает в силу с 1 января 2027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364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мерах по реализации требований части 5 статьи 1,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статей 80, 81, 138, 139 и 140 Налогового кодекса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 от 22 марта 2022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«</w:t>
      </w:r>
      <w:hyperlink w:history="1" r:id="rIdjjzps1wzhhpsgzvgytc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в некоторые законодательные акты Кыргызской Республики в сфере налогообложения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от 29 октября 2025 года № 243, «</w:t>
      </w:r>
      <w:hyperlink w:history="1" r:id="rIdicgfujxkbuvsifeboki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в некоторые законодательные акты Кыргызской Республики в сфере налогообложения, социального страхования и неналоговых доходов</w:t>
        </w:r>
      </w:hyperlink>
      <w:r>
        <w:rPr>
          <w:rFonts w:ascii="Arial" w:cs="Arial" w:eastAsia="Arial" w:hAnsi="Arial"/>
          <w:sz w:val="24"/>
          <w:szCs w:val="24"/>
        </w:rPr>
        <w:t xml:space="preserve">» от 31 декабря 2025 года № 262, в соответствии со статьями </w:t>
      </w:r>
      <w:hyperlink w:history="1" r:id="rIdo6idhjwkp8ogm03yfmh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jfrtfhek3iwkfghk33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ygx2xm-ok0madgow9p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реализации требований части 5 статьи 1, статей 80, 81, 138, 139 и 140 Налогового кодекса Кыргызской Республики» от 22 марта 2022 года № 150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potawd1jlbjb6r5_q3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взыскания налоговой задолженности, утвержденном вышеуказанным </w:t>
      </w:r>
      <w:hyperlink w:history="1" r:id="rId50zwa6s_gyoluksdlmq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4</w:t>
      </w:r>
      <w:r>
        <w:rPr>
          <w:rFonts w:ascii="Arial" w:cs="Arial" w:eastAsia="Arial" w:hAnsi="Arial"/>
          <w:sz w:val="24"/>
          <w:szCs w:val="24"/>
        </w:rPr>
        <w:t xml:space="preserve"> после слов «в безналичной форме» дополнить словами «, в том числе цифровыми сомами,»;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1 </w:t>
      </w:r>
      <w:r>
        <w:rPr>
          <w:rFonts w:ascii="Arial" w:cs="Arial" w:eastAsia="Arial" w:hAnsi="Arial"/>
          <w:sz w:val="24"/>
          <w:szCs w:val="24"/>
        </w:rPr>
        <w:t xml:space="preserve">пункта 26</w:t>
      </w:r>
      <w:r>
        <w:rPr>
          <w:rFonts w:ascii="Arial" w:cs="Arial" w:eastAsia="Arial" w:hAnsi="Arial"/>
          <w:sz w:val="24"/>
          <w:szCs w:val="24"/>
        </w:rPr>
        <w:t xml:space="preserve"> слова «30 (тридцать)» заменить словами «60 (шестьдесят)»;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«29. Взыскание налоговой задолженности, признанной налогоплательщиком, за счет денежных средств с банковских счетов и электронных денежных средств, размещенных у операторов электронных денег и платежных систем, производится путем выставления НПТ и направляется налоговыми органами во все банки, а также операторам электронных денег и платежных систем, функционирующим на территории Кыргызской Республики, без запроса о наличии или отсутствии счетов налогоплательщика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НПТ формируется в виде электронного документа посредством автоматизированной информационной системы уполномоченного налогового органа (далее – АИС УНО) в отношении налогоплательщика, имеющего налоговую задолженность, признанную налогоплательщиком.»;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31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«33. НПТ выставляется в банки, а также операторам электронных денег и платежных систем, функционирующим на территории Кыргызской Республики, независимо от наличия или отсутствия счета налогоплательщика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Действие НПТ, направленное в банк, оператору электронных денег и платежных систем, распространяется также на вновь открывшиеся счета налогоплательщика.»;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</w:t>
      </w: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«36. НПТ исполняется банком, оператором электронных денег и платежных систем путем списания денежных средств со счетов налогоплательщика, включая валютные, в счет уплаты его налоговой задолженности не позднее одного операционного дня, следующего за днем его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Налоговая задолженность исполняется в национальной валюте (сом).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исполнения НПТ с валютных счетов налогоплательщика банк, оператор электронных денег и платежных систем конвертируют иностранную валюту в национальную валюту (сом) на дату исполнения НПТ.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Конвертация производится по официальному курсу Национального банка Кыргызской Республики, установленному на день конвертации иностранной валюты к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недостаточности или отсутствии денежных средств на счетах налогоплательщика в день получения банком, оператором электронных денег и платежных систем НПТ такое требование исполняется по мере поступления денежных средств на эти счета не позднее одного операционного дня, следующего за днем каждого такого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Выставленное НПТ остается на исполнении банков, операторов электронных денег и платежных систем: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полного исполнения НПТ;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закрытия (отзыва) НПТ налоговым органом, выставившим НПТ, в связи с наступлением оснований для прекращения налогового обязательства, предусмотренного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Налоговый орган контролирует исполнение банками, операторами электронных денег и платежных систем полной уплаты налоговой задолженности по сумме НПТ налогоплательщика. Банки, операторы электронных денег и платежных систем обязаны исполнять в бесспорном и первоочередном порядке НПТ, выставляемое налоговым органом для погашения налоговой задолженности, признанной налогоплательщиком.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банками, операторами электронных денег и платежных систем НПТ, выставленного в порядке, установленном Налоговым </w:t>
      </w:r>
      <w:hyperlink w:history="1" r:id="rIdpmg49arrwxlptkncajc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влечет привлечение к ответственности банков и операторов электронных денег и платежных систем в соответствии с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Регламент взаимодействия органов налоговой службы и коммерческих банков, операторов электронных денег и платежных систем при выставлении электронного НПТ определяется уполномоченным налоговым органом.»;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52</w:t>
      </w:r>
      <w:r>
        <w:rPr>
          <w:rFonts w:ascii="Arial" w:cs="Arial" w:eastAsia="Arial" w:hAnsi="Arial"/>
          <w:sz w:val="24"/>
          <w:szCs w:val="24"/>
        </w:rPr>
        <w:t xml:space="preserve"> слова «части 13» заменить словами «части 13,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64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«64. В случае неустранения нарушения и неуплаты суммы налоговой задолженности, а также принятия решения об отмене отсрочки или рассрочки по ее уплате налоговый орган направляет письменное требование банку (гаранту) о погашении налоговой задолженности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83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2026 года, за исключением абзаца третьего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, который вступает в силу с 1 января 2027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мая 2026 года № 38 (3798)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cuutcmhaz9iajdijq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dalil.kg/document/230046180</w:t>
      </w:r>
    </w:hyperlink>
  </w:p>
  <w:p>
    <w:pPr>
      <w:spacing w:after="0" w:before="40"/>
      <w:jc w:val="center"/>
    </w:pPr>
    <w:hyperlink w:history="1" r:id="rIds7bhwp5dsalu0guxlkw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zps1wzhhpsgzvgytcqg" Type="http://schemas.openxmlformats.org/officeDocument/2006/relationships/hyperlink" Target="https://dalil.kg/document/230034409" TargetMode="External"/><Relationship Id="rIdicgfujxkbuvsifebokiyu" Type="http://schemas.openxmlformats.org/officeDocument/2006/relationships/hyperlink" Target="https://dalil.kg/document/230038461" TargetMode="External"/><Relationship Id="rIdo6idhjwkp8ogm03yfmhw7" Type="http://schemas.openxmlformats.org/officeDocument/2006/relationships/hyperlink" Target="https://dalil.kg/document/112301#st_13" TargetMode="External"/><Relationship Id="rIdtjfrtfhek3iwkfghk33x8" Type="http://schemas.openxmlformats.org/officeDocument/2006/relationships/hyperlink" Target="https://dalil.kg/document/112301#st_17" TargetMode="External"/><Relationship Id="rId7ygx2xm-ok0madgow9pzf" Type="http://schemas.openxmlformats.org/officeDocument/2006/relationships/hyperlink" Target="https://dalil.kg/document/159143" TargetMode="External"/><Relationship Id="rIdvpotawd1jlbjb6r5_q3kn" Type="http://schemas.openxmlformats.org/officeDocument/2006/relationships/hyperlink" Target="https://dalil.kg/document/159166" TargetMode="External"/><Relationship Id="rId50zwa6s_gyoluksdlmqqs" Type="http://schemas.openxmlformats.org/officeDocument/2006/relationships/hyperlink" Target="https://dalil.kg/document/159143" TargetMode="External"/><Relationship Id="rIdpmg49arrwxlptkncajc0x" Type="http://schemas.openxmlformats.org/officeDocument/2006/relationships/hyperlink" Target="https://dalil.kg/document/11234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cuutcmhaz9iajdijqsu" Type="http://schemas.openxmlformats.org/officeDocument/2006/relationships/hyperlink" Target="https://dalil.kg/document/230046180" TargetMode="External"/><Relationship Id="rIds7bhwp5dsalu0guxlkw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2026-09-25T16:18:16.142Z</dcterms:created>
  <dcterms:modified xsi:type="dcterms:W3CDTF">2026-09-25T16:18:16.142Z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