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НАУКИ, ВЫСШЕГО ОБРАЗОВАНИЯ И ИНОВАЦИЙ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марты 2026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области предоставления дополнительного профессионального образования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в соответствии с п. 66 Единого реестра государственных услуг, оказываемых государственными органами и их подведомственными учреждениями, утвержденного постановлением Кабинета Министров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от 12 июня 2024 года № 304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 в сфере дополнительного профессионального образования, в соответствии с пунктами 1 и части 1 пункта 2 </w:t>
      </w:r>
      <w:hyperlink w:history="1" r:id="rIdkex8ayxvw-6u9vfrezc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Типовом стандарте государственных и муниципальных услуг» от 3 сентября 2012 года № 603, а также на основании пункта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duv63qcchcciecy6f6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а также во исполнение </w:t>
      </w:r>
      <w:hyperlink w:history="1" r:id="rIduzopo_t_pg8_dfdqgf-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f1k0wsix-m_9w-3pz5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 в области предоставления дополнительного профессионального образования согласно п</w:t>
      </w:r>
      <w:r>
        <w:rPr>
          <w:rFonts w:ascii="Arial" w:cs="Arial" w:eastAsia="Arial" w:hAnsi="Arial"/>
          <w:sz w:val="24"/>
          <w:szCs w:val="24"/>
        </w:rPr>
        <w:t xml:space="preserve">ункту</w:t>
      </w:r>
      <w:r>
        <w:rPr>
          <w:rFonts w:ascii="Arial" w:cs="Arial" w:eastAsia="Arial" w:hAnsi="Arial"/>
          <w:sz w:val="24"/>
          <w:szCs w:val="24"/>
        </w:rPr>
        <w:t xml:space="preserve"> 66 </w:t>
      </w:r>
      <w:hyperlink w:history="1" r:id="rId2k4yolczvvsbcwkroo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утвержденного </w:t>
      </w:r>
      <w:hyperlink w:history="1" r:id="rIdq_wxyu8saa0vqrzms3h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 (далее – Единый реестр).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их подведомственным учреждениям, предоставляющим государственную услугу согласно п</w:t>
      </w:r>
      <w:r>
        <w:rPr>
          <w:rFonts w:ascii="Arial" w:cs="Arial" w:eastAsia="Arial" w:hAnsi="Arial"/>
          <w:sz w:val="24"/>
          <w:szCs w:val="24"/>
        </w:rPr>
        <w:t xml:space="preserve">ункту</w:t>
      </w:r>
      <w:r>
        <w:rPr>
          <w:rFonts w:ascii="Arial" w:cs="Arial" w:eastAsia="Arial" w:hAnsi="Arial"/>
          <w:sz w:val="24"/>
          <w:szCs w:val="24"/>
        </w:rPr>
        <w:t xml:space="preserve"> 66 Единого реестра: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 соблюдать стандарты государственных услуг, утвержденные пунктом 1 настоящего приказа;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стандарты государственных услуг на своих веб-сайтах и информационных стендах.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 Пресс-секретарю (А.А.Асанбаева)</w:t>
      </w:r>
      <w:r>
        <w:rPr>
          <w:rFonts w:ascii="Arial" w:cs="Arial" w:eastAsia="Arial" w:hAnsi="Arial"/>
          <w:sz w:val="24"/>
          <w:szCs w:val="24"/>
        </w:rPr>
        <w:t xml:space="preserve"> обеспечить официальное опубликование настоящего приказа в газете «Эркин-Тоо» и на официальном веб-сайте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Отделу бухгалтерского учета (Р.К. Асаналиев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) обеспечить оплату расходов, связанных с опубликованием настоящего приказа и приложения к нему в газете «Эркин-Тоо».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Управлению высшего, среднего профессионального и послевузовского образования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течении трех рабочих дней со дня вступления в силу настоящего приказа направить копии приказа на государственном и официальном языках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довести настоящий приказ до сведения руководителей структурных и подведомственных учреждений, а также государственным органам, их подведомственным учреждениям, предоставляющим государственную услугу согласно п. 66 Единого реестра.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</w:t>
      </w:r>
      <w:r>
        <w:rPr>
          <w:rFonts w:ascii="Arial" w:cs="Arial" w:eastAsia="Arial" w:hAnsi="Arial"/>
          <w:sz w:val="24"/>
          <w:szCs w:val="24"/>
        </w:rPr>
        <w:t xml:space="preserve">Управление высшего, среднего профессионального и послевузовского образования (А.Т. Исираилова)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марта 2026 года № 18 (3778)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Г.Дж. Мамырова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</w:p>
    <w:p>
      <w:pPr>
        <w:spacing w:after="16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также краткое описание действий исполнителя услуги в процессе ее предоставления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- глава 1, пункт 66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 органа местного самоуправления (муниципального учреждения)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предоставляющие услуги дополнительного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органа,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области образования, науки и государственного контроля за доступностью и качеством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дошкольного и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макроэкономической, торговой, антимонопольной, таможенно-тарифной, лицензионной, внешнеэкономической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области управления государственными финансами;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сферах охраны окружающей среды, экологии и климата, геологии и недропользования, использования и охраны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информации персонального характера, кибербезопасности и обеспечения защиты прав субъектов персональных данных;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таможенного дела;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области официальной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их территориальных подразделениях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Дееспособные физические лица, достигшие 18-летнего возраста, вне зависимости от пола, в том числе и ЛОВЗ, имеющие профессиональное образование, в зависимости от уровня дополнительной образовательной программы.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hyperlink w:history="1" r:id="rIdotjmgwyzyglk8_x93a6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образовании»;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Кабинета Министров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«Об утверждении нормативных правовых актов в области высшего и среднего профессионального образования, утвержденным» от 10 июня 2025 года № 329;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противодействии финансированию преступной деятельности и легализации (отмыванию) преступных доходов»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государственных закупках»;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основах технического регулирования в Кыргызской Республике»;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промышленной безопасности опасных производственных объектов»;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Цифровой Кодекс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Таможенный кодекс Евразийского экономического союза;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«Об официальной статистике»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успешно освоившим соответствующую дополнительную профессиональную программу и прошедшим итоговую аттестацию выдается документ о дополнительном профессиональном образовании (сертификат, удостоверение).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требованиям нормативных правовых актов Кыргызской Республики в области санитарно-эпидемиологического благополучия и пожарной безопасности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компьютерной техники и оборудования, в т.ч. лабораторной техники, технических средств обучения, материалов, приборов;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оснащенной библиотеки;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дисциплинам, в т.ч. программам производственной практики, экзаменационные материалы, учебные и методические пособия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 или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60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государственной услуги определяется в соответствии с учебной программой, но не менее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академических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и муниципальной услуге, предоставляемой потребителю (перечень необходимой информации), и государственном органе и органе местного самоуправления, ответственном за стандартизацию, представляющего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 и науки и государственный контроль за доступностью и качеством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 и науки и государственный контроль за доступностью и качеством образования, его территориальных подразделениях и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осуществляющего управление в области образования и науки и государственный контроль за доступностью и качеством образования,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осуществляющим управление в области образования и науки и государственный контроль за доступностью и качеством образования,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осуществляющего управление в области образования и науки и государственный контроль за доступностью и качеством образования,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и муниципальной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области образования и науки и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 и науки и государственный контроль за доступностью и качеством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 и науки и государственный контроль за доступностью и качеством образования,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уполномоченных государственных органах, указанных в п.2 настоящего стандарта и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получатель услуги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паспорт, или иной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сертификата или удостоверения необходимо представить следующий документ: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предоставление услуги утверждается руководителем образовательной организации на основании ст.55 Закон Кыргызской Республики «Об образовании» от 11 августа 2023 года № 179.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сайтах уполномоченных органов, указанных в п.2 настоящего стандарта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или полностью (расписание занятий, доступ к электронным учебным ресурсам, проведение обучения с использованием дистанционных образовательных технологий, контроль знаний и т.д.).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 по заявлениям на получение государственной услуги, поступающим в электронном формате через веб-сайты соответствующих уполномоченных органов, указанных в п. 2 настоящего стандарта, их предоставляющих, и через Государственный портал электронных услуг, должны быть приняты в установленном административным регламентом порядке и доведены до сведения заявителя в течение 3-х рабочих дней со дня поступления.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установленным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лица, обратившегося за получением услуги, определенным требованиям, подтвержденное заключением соответствующего органа.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уполномоченных органов, указанных в п.2 настоящего стандарта.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уполномоченных органов, указанных в п.2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1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w31zdkmuwoqfz0he3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dalil.kg/document/230046405</w:t>
      </w:r>
    </w:hyperlink>
  </w:p>
  <w:p>
    <w:pPr>
      <w:spacing w:after="0" w:before="40"/>
      <w:jc w:val="center"/>
    </w:pPr>
    <w:hyperlink w:history="1" r:id="rIddu1i_ak4rsotgbamagf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x8ayxvw-6u9vfrezcmc" Type="http://schemas.openxmlformats.org/officeDocument/2006/relationships/hyperlink" Target="https://dalil.kg/document/93029" TargetMode="External"/><Relationship Id="rIdduv63qcchcciecy6f6wol" Type="http://schemas.openxmlformats.org/officeDocument/2006/relationships/hyperlink" Target="https://dalil.kg/document/160035" TargetMode="External"/><Relationship Id="rIduzopo_t_pg8_dfdqgf-4y" Type="http://schemas.openxmlformats.org/officeDocument/2006/relationships/hyperlink" Target="https://dalil.kg/document/230008396" TargetMode="External"/><Relationship Id="rIdif1k0wsix-m_9w-3pz55r" Type="http://schemas.openxmlformats.org/officeDocument/2006/relationships/hyperlink" Target="https://dalil.kg/document/230046405#pr1" TargetMode="External"/><Relationship Id="rId2k4yolczvvsbcwkrooead" Type="http://schemas.openxmlformats.org/officeDocument/2006/relationships/hyperlink" Target="https://dalil.kg/document/230008597" TargetMode="External"/><Relationship Id="rIdq_wxyu8saa0vqrzms3hcn" Type="http://schemas.openxmlformats.org/officeDocument/2006/relationships/hyperlink" Target="https://dalil.kg/document/230008396" TargetMode="External"/><Relationship Id="rIdotjmgwyzyglk8_x93a6ov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w31zdkmuwoqfz0he3jn" Type="http://schemas.openxmlformats.org/officeDocument/2006/relationships/hyperlink" Target="https://dalil.kg/document/230046405" TargetMode="External"/><Relationship Id="rIddu1i_ak4rsotgbamagf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2026-09-26T11:41:32.473Z</dcterms:created>
  <dcterms:modified xsi:type="dcterms:W3CDTF">2026-09-26T11:41:32.473Z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