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32"/>
                <w:szCs w:val="32"/>
              </w:rPr>
              <w:t xml:space="preserve">КЫРГЫЗ РЕСПУБЛИКАСЫНЫН ПРЕЗИДЕНТИНИН</w:t>
            </w:r>
            <w:r>
              <w:rPr>
                <w:rFonts w:ascii="Arial" w:cs="Arial" w:eastAsia="Arial" w:hAnsi="Arial"/>
                <w:b/>
                <w:bCs/>
                <w:sz w:val="44"/>
                <w:szCs w:val="44"/>
              </w:rPr>
              <w:t xml:space="preserve">ЖАРЛЫГЫ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44"/>
                <w:szCs w:val="44"/>
              </w:rPr>
              <w:t xml:space="preserve">УКАЗ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32"/>
                <w:szCs w:val="32"/>
              </w:rPr>
              <w:t xml:space="preserve">ПРЕЗИДЕНТА КЫРГЫЗСКОЙ РЕСПУБЛИКИ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Салиеве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В соответствии с пунктом 2 части 10 статьи 70 Конституции Кыргызской Республики присвоить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САЛИЕВУ Алмазу Абдылдаевичу </w:t>
      </w:r>
      <w:r>
        <w:rPr>
          <w:rFonts w:ascii="Arial" w:cs="Arial" w:eastAsia="Arial" w:hAnsi="Arial"/>
          <w:sz w:val="28"/>
          <w:szCs w:val="28"/>
        </w:rPr>
        <w:t xml:space="preserve">высшее специальное звание «генерал-майор таможенной службы».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С.Н. Жапаров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el4-zp0abwdh2l4bea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dalil.kg/document/230046579</w:t>
      </w:r>
    </w:hyperlink>
  </w:p>
  <w:p>
    <w:pPr>
      <w:spacing w:after="0" w:before="40"/>
      <w:jc w:val="center"/>
    </w:pPr>
    <w:hyperlink w:history="1" r:id="rId2brhecxmt1huxm4marn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el4-zp0abwdh2l4bea4t" Type="http://schemas.openxmlformats.org/officeDocument/2006/relationships/hyperlink" Target="https://dalil.kg/document/230046579" TargetMode="External"/><Relationship Id="rId2brhecxmt1huxm4marn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2026-09-25T21:05:30.997Z</dcterms:created>
  <dcterms:modified xsi:type="dcterms:W3CDTF">2026-09-25T21:05:30.997Z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