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346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комплексной системе оценки эффективности деятельности аппаратов полномочных представителей Президента Кыргызской Республики в областях,</w:t>
      </w:r>
      <w:r>
        <w:rPr>
          <w:rFonts w:ascii="Arial" w:cs="Arial" w:eastAsia="Arial" w:hAnsi="Arial"/>
          <w:sz w:val="28"/>
          <w:szCs w:val="28"/>
        </w:rPr>
        <w:t xml:space="preserve">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iwsrf9uxpekv7mr73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оценки деятельности,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6xorwoilhl4vcsj-wk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d6xpsdwzzrdybd3k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oifeowlpyjtce8dhz9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– Методика) согласно приложению 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d1e_7z9ypfvdjgp3r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</w:t>
      </w:r>
      <w:r>
        <w:rPr>
          <w:rFonts w:ascii="Arial" w:cs="Arial" w:eastAsia="Arial" w:hAnsi="Arial"/>
          <w:sz w:val="24"/>
          <w:szCs w:val="24"/>
        </w:rPr>
        <w:t xml:space="preserve">на ежегодной основе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– Комиссия) согласно приложению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мэрам городов Бишкек, Ош, городов областного значения и главам местных государственных администраций до 30 числа месяца, следующего за отчетным годом, представлять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 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заполненные унифицированные формы отчетности о результатах оценки, утвержденные Министерством экономики и коммерции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Задействованным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 Национальному статистическому комитету Кыргызской Республики (по согласованию) до 30 числа месяца, следующего за отчетным годом, представлять в Министерство экономики и коммерции Кыргызской Республики основные плановые и фактические социально-экономические показатели в соответствии с Методикой.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полномочные представители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мэры городов Бишкек, Ош, городов </w:t>
      </w:r>
      <w:r>
        <w:rPr>
          <w:rFonts w:ascii="Arial" w:cs="Arial" w:eastAsia="Arial" w:hAnsi="Arial"/>
          <w:sz w:val="24"/>
          <w:szCs w:val="24"/>
        </w:rPr>
        <w:t xml:space="preserve">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 и главы местных государственных администраций несут персональную ответственность за достоверность, своевременное представление и качество отчетов о фактических значениях достижения индикаторов оценки деятельности за отчетный период.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Комплексную оценку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 проводить на основании показателей деятельности по итогам 2025 года согласно </w:t>
      </w:r>
      <w:hyperlink w:history="1" r:id="rId4nbcsooexbclwsb8ug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_xniuyib5fim-cjyq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проведенной экспертизы отчетных материалов по оценке эффективности деятельности аппаратов полномочных представителей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мэрий городов Бишкек, Ош, городов областного значения и местных государственных администраций до 1</w:t>
      </w:r>
      <w:r>
        <w:rPr>
          <w:rFonts w:ascii="Arial" w:cs="Arial" w:eastAsia="Arial" w:hAnsi="Arial"/>
          <w:sz w:val="24"/>
          <w:szCs w:val="24"/>
        </w:rPr>
        <w:t xml:space="preserve">-го </w:t>
      </w:r>
      <w:r>
        <w:rPr>
          <w:rFonts w:ascii="Arial" w:cs="Arial" w:eastAsia="Arial" w:hAnsi="Arial"/>
          <w:sz w:val="24"/>
          <w:szCs w:val="24"/>
        </w:rPr>
        <w:t xml:space="preserve">числа третьего месяца, следующего за отчетным годом, представлять в Комиссию сводный отчет;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методическое содействие аппаратам полномочных представителей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мэриям городов Бишкек, Ош, городов областного значения и местным государственным администрациям в практическом применении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инструктивные материалы и формы отчетности по практическому применению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Министерству финансов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соответствующие годы денежные средства для реализации настоящего постановления;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из республиканского бюджета 18 000 000 (восемнадцать миллионов) сомов на формирование призового фонда для поощрения лидеров рейтинга по итогам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1fysxdhgbi8u0patkz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ggdqe91lcwt1xmtwz4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</w:t>
      </w:r>
      <w:r>
        <w:rPr>
          <w:rFonts w:ascii="Arial" w:cs="Arial" w:eastAsia="Arial" w:hAnsi="Arial"/>
          <w:sz w:val="24"/>
          <w:szCs w:val="24"/>
        </w:rPr>
        <w:t xml:space="preserve">25 апреля 2024 года № 203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lua1rfltj7ccx8srh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z66simxpdkdxjxpi2l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24 октября 2024 года № 644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комиссии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заместитель председателя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Комиссии;</w:t>
      </w:r>
    </w:p>
    <w:p>
      <w:pPr>
        <w:spacing w:after="120" w:before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инициатив при Президенте Кыргызской Республики (по согласованию).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rdwj2xyhytc11tba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полномочных представителей Президента Кыргызской Республики в областях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948"/>
        <w:gridCol w:w="1484"/>
        <w:gridCol w:w="148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аппаратов полномочных представителей Президента Кыргызской Республики в областях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Иссык-Кульской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Баткенской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Нарынской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Джалал-Абадской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Таласской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Чуйской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местных государственных администраций, входящих в группу 1
 (районы с отдаленными, труднодоступными высокогорными селами и селами, имеющими особый приграничный статус)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290"/>
        <w:gridCol w:w="1960"/>
        <w:gridCol w:w="1487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местных государственных администраций, входящих в группу 2
 (районы, не входящие в группу 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290"/>
        <w:gridCol w:w="1960"/>
        <w:gridCol w:w="1487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eoz9zgzg4q7b3lvhy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dalil.kg/document/230046773</w:t>
      </w:r>
    </w:hyperlink>
  </w:p>
  <w:p>
    <w:pPr>
      <w:spacing w:after="0" w:before="40"/>
      <w:jc w:val="center"/>
    </w:pPr>
    <w:hyperlink w:history="1" r:id="rIdpvneca3p03fliaegkvz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iwsrf9uxpekv7mr73zp" Type="http://schemas.openxmlformats.org/officeDocument/2006/relationships/hyperlink" Target="https://dalil.kg/document/230049609" TargetMode="External"/><Relationship Id="rId6xorwoilhl4vcsj-wkgg9" Type="http://schemas.openxmlformats.org/officeDocument/2006/relationships/hyperlink" Target="https://dalil.kg/document/112301#st_13" TargetMode="External"/><Relationship Id="rIdjkd6xpsdwzzrdybd3kexd" Type="http://schemas.openxmlformats.org/officeDocument/2006/relationships/hyperlink" Target="https://dalil.kg/document/112301#st_17" TargetMode="External"/><Relationship Id="rIdwoifeowlpyjtce8dhz9n8" Type="http://schemas.openxmlformats.org/officeDocument/2006/relationships/hyperlink" Target="https://dalil.kg/document/230046777" TargetMode="External"/><Relationship Id="rIdzd1e_7z9ypfvdjgp3rntc" Type="http://schemas.openxmlformats.org/officeDocument/2006/relationships/hyperlink" Target="https://dalil.kg/document/230046784" TargetMode="External"/><Relationship Id="rId4nbcsooexbclwsb8ugm-d" Type="http://schemas.openxmlformats.org/officeDocument/2006/relationships/hyperlink" Target="https://dalil.kg/document/230046773#pr4" TargetMode="External"/><Relationship Id="rIdvx_xniuyib5fim-cjyqz2" Type="http://schemas.openxmlformats.org/officeDocument/2006/relationships/hyperlink" Target="https://dalil.kg/document/230049609" TargetMode="External"/><Relationship Id="rIdu1fysxdhgbi8u0patkzzb" Type="http://schemas.openxmlformats.org/officeDocument/2006/relationships/hyperlink" Target="https://dalil.kg/document/230049609" TargetMode="External"/><Relationship Id="rIdkggdqe91lcwt1xmtwz4b1" Type="http://schemas.openxmlformats.org/officeDocument/2006/relationships/hyperlink" Target="https://dalil.kg/document/230005416" TargetMode="External"/><Relationship Id="rIdvlua1rfltj7ccx8srhjf0" Type="http://schemas.openxmlformats.org/officeDocument/2006/relationships/hyperlink" Target="https://dalil.kg/document/230016343" TargetMode="External"/><Relationship Id="rIdz66simxpdkdxjxpi2lcqx" Type="http://schemas.openxmlformats.org/officeDocument/2006/relationships/hyperlink" Target="https://dalil.kg/document/230005416" TargetMode="External"/><Relationship Id="rIdelrdwj2xyhytc11tbakft" Type="http://schemas.openxmlformats.org/officeDocument/2006/relationships/hyperlink" Target="https://dalil.kg/document/23004960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eoz9zgzg4q7b3lvhy7j" Type="http://schemas.openxmlformats.org/officeDocument/2006/relationships/hyperlink" Target="https://dalil.kg/document/230046773" TargetMode="External"/><Relationship Id="rIdpvneca3p03fliaegkvz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2026-09-24T10:08:06.601Z</dcterms:created>
  <dcterms:modified xsi:type="dcterms:W3CDTF">2026-09-24T10:08:06.601Z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