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rgnjlngqtax9-dduwv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июня 2026 года № 384)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защите персональных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данных при их обработке в цифровых технологических 
 системах в соответствии с установленными уровнями защищенности персональных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Настоящие Требования</w:t>
      </w:r>
      <w:r>
        <w:rPr>
          <w:rFonts w:ascii="Arial" w:cs="Arial" w:eastAsia="Arial" w:hAnsi="Arial"/>
          <w:sz w:val="24"/>
          <w:szCs w:val="24"/>
        </w:rPr>
        <w:t xml:space="preserve">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(далее – Требования) </w:t>
      </w:r>
      <w:r>
        <w:rPr>
          <w:rFonts w:ascii="Arial" w:cs="Arial" w:eastAsia="Arial" w:hAnsi="Arial"/>
          <w:sz w:val="24"/>
          <w:szCs w:val="24"/>
        </w:rPr>
        <w:t xml:space="preserve">устанавливают уровни защищенности персональных данных при их обработке в цифровых технологических системах, критерии и виды угроз безопасности персональных данных, а также требования к обеспечению их безопасности и защите при обработке в цифровых технологических системах в соответствии со </w:t>
      </w:r>
      <w:hyperlink w:history="1" r:id="rIdnzbm8sug336zmkffi0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Используемые в настоящих Требованиях понятия</w:t>
      </w:r>
      <w:r>
        <w:rPr>
          <w:rFonts w:ascii="Arial" w:cs="Arial" w:eastAsia="Arial" w:hAnsi="Arial"/>
          <w:sz w:val="24"/>
          <w:szCs w:val="24"/>
        </w:rPr>
        <w:t xml:space="preserve"> и термины используются</w:t>
      </w:r>
      <w:r>
        <w:rPr>
          <w:rFonts w:ascii="Arial" w:cs="Arial" w:eastAsia="Arial" w:hAnsi="Arial"/>
          <w:sz w:val="24"/>
          <w:szCs w:val="24"/>
        </w:rPr>
        <w:t xml:space="preserve"> в значени</w:t>
      </w:r>
      <w:r>
        <w:rPr>
          <w:rFonts w:ascii="Arial" w:cs="Arial" w:eastAsia="Arial" w:hAnsi="Arial"/>
          <w:sz w:val="24"/>
          <w:szCs w:val="24"/>
        </w:rPr>
        <w:t xml:space="preserve">ях</w:t>
      </w:r>
      <w:r>
        <w:rPr>
          <w:rFonts w:ascii="Arial" w:cs="Arial" w:eastAsia="Arial" w:hAnsi="Arial"/>
          <w:sz w:val="24"/>
          <w:szCs w:val="24"/>
        </w:rPr>
        <w:t xml:space="preserve">, определенных Цифровым кодексом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Положения настоящих Требований обязательны для применения государственными органами, органами местного самоуправления, юридическими лицами с участием государства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 организациями, финансируемыми из республиканского и местных бюджетов, являющимися владельцами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обработчиками государственных/муниципальных цифровых технологических систем, а также иных элементов, входящих в состав </w:t>
      </w:r>
      <w:r>
        <w:rPr>
          <w:rFonts w:ascii="Arial" w:cs="Arial" w:eastAsia="Arial" w:hAnsi="Arial"/>
          <w:sz w:val="24"/>
          <w:szCs w:val="24"/>
        </w:rPr>
        <w:t xml:space="preserve">Национальной цифровой экосистемы</w:t>
      </w:r>
      <w:r>
        <w:rPr>
          <w:rFonts w:ascii="Arial" w:cs="Arial" w:eastAsia="Arial" w:hAnsi="Arial"/>
          <w:sz w:val="24"/>
          <w:szCs w:val="24"/>
        </w:rPr>
        <w:t xml:space="preserve">, в которых обрабатываются персональные данные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всеми владельцами персональных записей.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Уровни защищенности персональных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их обработке в цифровых технологических системах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обработке персональных данных устанавливаются следующие уровни защищенности в цифровых технологических системах: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иний» (низкий);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еленый» (умеренный);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«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елтый» (высокий);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«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расный» (критический).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Выбор уровня защищенности персональных данных, обеспечение которого необходимо при их обработке в конкретной цифровой технологической системе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цифровой экосистеме персональных данных, осуществляется владельцами персональных записей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отраслевой регулятор в сфере персональных данных разрабатывает и утверждает Типовой перечень угроз безопасности персональных данных при обработке персональных данных в цифровых технологических системах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Типовой перечень), содержащий все виды и типы предполагаемых угроз,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етодику определения угроз безопасности в цифровых технологических системах персональных данных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Методика определения угроз) и форму перечня видов угроз;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и органы местного самоуправления на основании Типового перечня, Методики определения угроз разрабатывают и утверждают обязательные для исполнения подведомственными </w:t>
      </w:r>
      <w:r>
        <w:rPr>
          <w:rFonts w:ascii="Arial" w:cs="Arial" w:eastAsia="Arial" w:hAnsi="Arial"/>
          <w:sz w:val="24"/>
          <w:szCs w:val="24"/>
        </w:rPr>
        <w:t xml:space="preserve">организациями </w:t>
      </w:r>
      <w:r>
        <w:rPr>
          <w:rFonts w:ascii="Arial" w:cs="Arial" w:eastAsia="Arial" w:hAnsi="Arial"/>
          <w:sz w:val="24"/>
          <w:szCs w:val="24"/>
        </w:rPr>
        <w:t xml:space="preserve">ведомственные акты об определении перечня угроз безопасности персональных данных при обработке персональных данных в цифровых технологических системах, эксплуатируемых при осуществлении соответствующих видов деятельности, с учетом содержания персональных данных, характера и способов их обработки;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владелец персональных записей, исходя из конкретных условий работы с персональными данными, ценности защищаемой информации и стоимости мер по ее защите, а также с учетом уровня технического развития, утверждает собственный перечень угроз безопасности персональных данных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перечень угроз) по форме, утвержденной отраслевым регулятором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угроз владельцем персональных записей в обязательном порядке включаются угрозы, определенные в актах, указанных в подпунктах 1 и 2 настоящего пункта, а также</w:t>
      </w:r>
      <w:r>
        <w:rPr>
          <w:rFonts w:ascii="Arial" w:cs="Arial" w:eastAsia="Arial" w:hAnsi="Arial"/>
          <w:sz w:val="24"/>
          <w:szCs w:val="24"/>
        </w:rPr>
        <w:t xml:space="preserve">по решению владельца персональных записей и иные угрозы.</w:t>
      </w:r>
      <w:r>
        <w:rPr>
          <w:rFonts w:ascii="Arial" w:cs="Arial" w:eastAsia="Arial" w:hAnsi="Arial"/>
          <w:sz w:val="24"/>
          <w:szCs w:val="24"/>
        </w:rPr>
        <w:t xml:space="preserve">Перечень угроз подлежит пересмотру владельцем персональных записей по мере изменения состава обрабатываемых персональных данных, условий и видов их обработки;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ассоциации, союзы и иные объединения владельцев персональных записей своими решениями вправе определить дополнительные угрозы безопасности персональных данных при обработке персональных данных в цифровых технологических системах, эксплуатируемых при осуществлении определенных видов деятельности членами таких ассоциаций, союзов и иных объединений, с учетом содержания персональных данных, характера и способов их обработки, наряду с угрозами безопасности персональных данных, определенными в ведомственных актах, указанных</w:t>
      </w:r>
      <w:r>
        <w:rPr>
          <w:rFonts w:ascii="Arial" w:cs="Arial" w:eastAsia="Arial" w:hAnsi="Arial"/>
          <w:sz w:val="24"/>
          <w:szCs w:val="24"/>
        </w:rPr>
        <w:t xml:space="preserve">в подпункте 2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Критерии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рейтинг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угроз безопасности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Каждому виду угроз безопасности персональных данных, вошедших в перечень угроз, разработанный владельцем персональных записей, присваивается рейтинг в зависимости от следующих критериев в соответствии с Методикой определения угроз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"/>
        <w:gridCol w:w="3734"/>
        <w:gridCol w:w="1526"/>
        <w:gridCol w:w="4075"/>
      </w:tblGrid>
      <w:tr>
        <w:tc>
          <w:tcPr>
            <w:tcW w:type="dxa" w:w="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3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Диапазон баллов</w:t>
            </w:r>
          </w:p>
        </w:tc>
        <w:tc>
          <w:tcPr>
            <w:tcW w:type="dxa" w:w="4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причинение вреда субъекту персональных данных, который может быть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случае реализации угрозы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вред не может быть причинен (не влечет причинения убытков и морального вреда субъекту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незначительный вред, легко компенсируемый владельцем персональных записей (незначительные затраты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менее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расчетных показателей, на ликвидацию/компенсацию последствий за причиненные убытки и моральный вред);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значительный вред, который может быть компенсирован владельцем персональных записей (влечет значительные затраты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до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расчетных показателей, на ликвидацию/компенсацию последствий за причиненные убытки и моральный вред);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– критический вред, который может быть компенсирован владельцем персональных записей (влечет причинение убытков и морального вреда, компенсация которых требует затрат более 10 000 расчетных показателей).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обрабатываемых персональных данных, которые подвержены данной угрозе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незначительный объем (цифровая технологическая система обрабатывает персональные данные в объеме, не превышающем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субъектов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значительный объем (цифровая технологическая система обрабатывает персональные данные в объеме более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субъектов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критический объем (цифровая технологическая система обрабатывает персональные данные в объеме более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субъектов персональных данных)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обрабатываемых персональных данных, которые подвержены данной угрозе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балла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персональные данные, не относящиеся к специальным категориям персональных данных и персональным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данным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специальные категории персональных данных, в том числе персональные данные детей (в соответствии с частью 1 </w:t>
            </w:r>
            <w:hyperlink w:history="1" r:id="rId8lrmfe5iasrtgjiqu7pl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80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byrf1hplrjfurtitu9b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81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Цифрового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одекса Кыргызской Республики) 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деятельности, к которой применима угроза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краткосрочная (обработка данных не более чем в течение 2 (двух) недель);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долгосрочная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Рейтинг угрозы безопасности персональных данных определяется как произведение баллов по каждому из критериев.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Не считается обработкой специальных категорий персональных данных сопоставление биометрических шаблонов в автономных технических устройствах, не направленное на установление личности физического лица как субъекта права, не связанное с предоставлением государственных или иных юридически значимых услуг, используемое исключительно для выполнения ограниченной технической функции и осуществляемое при наличии альтернативного способа ее выполнения без применения биометрических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Уровни </w:t>
      </w:r>
      <w:r>
        <w:rPr>
          <w:rFonts w:ascii="Arial" w:cs="Arial" w:eastAsia="Arial" w:hAnsi="Arial"/>
          <w:sz w:val="24"/>
          <w:szCs w:val="24"/>
        </w:rPr>
        <w:t xml:space="preserve">защищенности</w:t>
      </w:r>
      <w:r>
        <w:rPr>
          <w:rFonts w:ascii="Arial" w:cs="Arial" w:eastAsia="Arial" w:hAnsi="Arial"/>
          <w:sz w:val="24"/>
          <w:szCs w:val="24"/>
        </w:rPr>
        <w:t xml:space="preserve"> персональных данных в зависимости от угроз безопасности этих данных определяются для каждой цифровой технологической системы или цифровых экосистем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«синий»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угроз с рейтингом не более 1 балла;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«зеленый»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угроз с рейтингом 2 балла (но не более);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«желтый»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угроз с рейтингом от 3 до 6 баллов включительно (но не более);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«красный»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угроз с рейтингом более 6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защите персональных данных по уровням защищенности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Установленные </w:t>
      </w:r>
      <w:hyperlink w:history="1" r:id="rIdh0569pkjbgh25tayby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Требований уровни защищенности персональных данных при их обработке в цифровых технологических системах персональных данных обеспечиваются выполнением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«синего» </w:t>
      </w:r>
      <w:r>
        <w:rPr>
          <w:rFonts w:ascii="Arial" w:cs="Arial" w:eastAsia="Arial" w:hAnsi="Arial"/>
          <w:sz w:val="24"/>
          <w:szCs w:val="24"/>
        </w:rPr>
        <w:t xml:space="preserve">уровня защищенности: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принятием документа (Политики) в отношении обработки и защиты персональных данных, определяющего меры по обеспечению конфиденциальности и безопасности данных пользователей, и обеспечением неограниченного и беспрепятственного доступа к его актуальной версии для любых заинтересованных лиц (включая незарегистрированных посетителей), а также организационно-технических решений, обеспечивающих доступность указанного документа для пользователей сайта и (или) приложения;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определением лица (лиц), ответственн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 обработку персональных данных в организации (для организаций с количеством работников более десяти человек), из числа работников организации или привлекаемого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привлекаемых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 основании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организацией обучения правилам и рекомендациям в сфере обработки персональных данных и факторам их эффективного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утверждением регламента реагирования на инциденты в цифровой среде, влияющем на цифровую устойчивость или права и законные интересы субъектов правоотношений в цифровой среде, содержащей порядки по выявлению, идентификации, предупреждению</w:t>
      </w:r>
      <w:r>
        <w:rPr>
          <w:rFonts w:ascii="Arial" w:cs="Arial" w:eastAsia="Arial" w:hAnsi="Arial"/>
          <w:sz w:val="24"/>
          <w:szCs w:val="24"/>
        </w:rPr>
        <w:t xml:space="preserve">и приняти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мер по устранению таких инцидентов, а также порядок уведомления владельцем записей и обработчиком об инцидентах в цифровой среде, осуществляемый в порядке и сроки, предусмотренные Цифровым</w:t>
      </w:r>
      <w:hyperlink w:history="1" r:id="rIdwji0y4tguga226gfet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осуществлением внутреннего контроля соответствия обработки персональных данных требованиям Цифрового </w:t>
      </w:r>
      <w:hyperlink w:history="1" r:id="rId-lscm31pn_dn53bysh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настоящих Требований,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иных документов, принятых по вопросам обработки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включением в трудовые договоры и должностные инструкции работников владельца персональных записей их обязанностей в отношении обработки персональных данных, положений о неукоснительном соблюдении требований Цифрового </w:t>
      </w:r>
      <w:hyperlink w:history="1" r:id="rIdzmoownba2cx9l7ggec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регулирующих обработку персональных данных, и настоящих Требований,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иных документов, принятых по вопросам обработки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ведением (в бумажном или цифровом виде) журнала учета материальных носителей персональных данных, предназначенных для обработки цифровых данных в машиночитаемом формате, а также сетевых и облачных хранилищ персональных данных, и списка лиц, в чьи должностные обязанности входит доступ к персональным данным;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каждом вводе персональных данных в цифровую технологическую систему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персональный ресурс, а также при изменении или уничтожении таких данных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указанием лица, осуществившего обработку таких данных, даты и времени совершения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созданием резервной копии актуальных персональных данных, обрабатываемых в цифровой технологической системе персональных данных с установленной периодичностью на основе риск-ориентированного подхода;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«зеленого» </w:t>
      </w:r>
      <w:r>
        <w:rPr>
          <w:rFonts w:ascii="Arial" w:cs="Arial" w:eastAsia="Arial" w:hAnsi="Arial"/>
          <w:sz w:val="24"/>
          <w:szCs w:val="24"/>
        </w:rPr>
        <w:t xml:space="preserve">уровня защищенности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требований, установленных для «синего» уровня защищенности, и дополнительно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реализацией конструктивной защиты данных на стадии проектирования цифровой технологической системы до начала обработки персональных данных, с учетом интеграции функций их защиты в архитектуру системы без необходимости дополнительных действий (настроек) со стороны пользователя, ориентации на интересы пользователей и проактивной защиты их прав, наличия автоматических механизмов контроля данных на всех этапах их жизненного цикла (от сбора до удаления);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применением шифровальных (криптографических) средств защиты информации, соответствующих техническим требованиям к таким средствам, для исключения несанкционированного доступа к персональным данным, их преднамеренного или случайного изменения или уничтожения;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установлением системы контроля помещений, в которых установлена цифровая технологическая система, позволяющей ограничить физический доступ к цифровым устройствам цифровой технологической системы только теми лицами, которым предоставлены соответствующие полномочия;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«желтого» </w:t>
      </w:r>
      <w:r>
        <w:rPr>
          <w:rFonts w:ascii="Arial" w:cs="Arial" w:eastAsia="Arial" w:hAnsi="Arial"/>
          <w:sz w:val="24"/>
          <w:szCs w:val="24"/>
        </w:rPr>
        <w:t xml:space="preserve">уровня защищенности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требований, установленных для «зеленого» уровня защищенности, и дополнительно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централизованным управлением системой защиты персональных данных, в том числе путем создания структурного подразделения, ответственного за реализацию настоящих Требований; В случае совместных владельцев записей данное требование реализуется одним из владельцев персональных записей путем заключения договора о порядке совместного осуществления своих прав и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ведением автоматического цифрового журнала (лога), фиксирующего все операции с персональными данными, в том числе просмотр, с обеспечением невозможности внесения изменений в данный журнал задним числом;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обеспечением резервирования и высокой доступности цифровой технологической системы хранения и обработки персональных данных в реальном времени и автоматического электронного журнала, предусмотренного абзацем третьим настоящего подпункта;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наличием автоматической системы выявления и пресечения несанкционированного доступа к персональным данным, а также их случайного уничтожения или изменения;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«красного» </w:t>
      </w:r>
      <w:r>
        <w:rPr>
          <w:rFonts w:ascii="Arial" w:cs="Arial" w:eastAsia="Arial" w:hAnsi="Arial"/>
          <w:sz w:val="24"/>
          <w:szCs w:val="24"/>
        </w:rPr>
        <w:t xml:space="preserve">уровня защищенности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требований, установленных для «желтого» уровня защищенности, и дополнительно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использованием только защищенных каналов связи при передаче персональных данных и (или) доступе к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защитой персональных данных от утечек по техническим каналам;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применением средств защиты информации, прошедших в установленном порядке процедуру сертификации в соответствии с отраслевым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регулярным (не менее 1 раза в год) аудитом цифровых технологических систем владельца персональных записей и обработчика автоматического цифрового журнала (лога), фиксирующего все операции с персональными данными, отраслевым регулятором в сфере персональных данных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аккредитованным субъектом для осуществления проверок соблюдения требований в сфере персональных данных.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6elg3cbyiaxrvnck6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dalil.kg/document/230046833</w:t>
      </w:r>
    </w:hyperlink>
  </w:p>
  <w:p>
    <w:pPr>
      <w:spacing w:after="0" w:before="40"/>
      <w:jc w:val="center"/>
    </w:pPr>
    <w:hyperlink w:history="1" r:id="rIdm-yqvf8nw6b2femlb9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gnjlngqtax9-dduwvqt" Type="http://schemas.openxmlformats.org/officeDocument/2006/relationships/hyperlink" Target="https://dalil.kg/document/230046827" TargetMode="External"/><Relationship Id="rIdnzbm8sug336zmkffi0bnf" Type="http://schemas.openxmlformats.org/officeDocument/2006/relationships/hyperlink" Target="https://dalil.kg/document/230029914#st_88" TargetMode="External"/><Relationship Id="rId8lrmfe5iasrtgjiqu7pl2" Type="http://schemas.openxmlformats.org/officeDocument/2006/relationships/hyperlink" Target="https://dalil.kg/document/230029914#st_80" TargetMode="External"/><Relationship Id="rIdbyrf1hplrjfurtitu9bfd" Type="http://schemas.openxmlformats.org/officeDocument/2006/relationships/hyperlink" Target="https://dalil.kg/document/230029914#st_81" TargetMode="External"/><Relationship Id="rIdh0569pkjbgh25taybyrjg" Type="http://schemas.openxmlformats.org/officeDocument/2006/relationships/hyperlink" Target="https://dalil.kg/document/230046833#p9" TargetMode="External"/><Relationship Id="rIdwji0y4tguga226gfet8vj" Type="http://schemas.openxmlformats.org/officeDocument/2006/relationships/hyperlink" Target="https://dalil.kg/document/230029914" TargetMode="External"/><Relationship Id="rId-lscm31pn_dn53byshzgf" Type="http://schemas.openxmlformats.org/officeDocument/2006/relationships/hyperlink" Target="https://dalil.kg/document/230029914" TargetMode="External"/><Relationship Id="rIdzmoownba2cx9l7ggechkc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6elg3cbyiaxrvnck67n" Type="http://schemas.openxmlformats.org/officeDocument/2006/relationships/hyperlink" Target="https://dalil.kg/document/230046833" TargetMode="External"/><Relationship Id="rIdm-yqvf8nw6b2femlb9g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2026-09-24T07:32:22.792Z</dcterms:created>
  <dcterms:modified xsi:type="dcterms:W3CDTF">2026-09-24T07:32:22.792Z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