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мая 2026 года № 371</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Порядка предоставления поручительства субъектам национальной экономики" от 23 сентября 2025 года № 605</w:t>
      </w:r>
    </w:p>
    <w:p>
      <w:pPr>
        <w:spacing w:after="60"/>
        <w:ind w:firstLine="567"/>
        <w:jc w:val="both"/>
      </w:pPr>
      <w:r>
        <w:rPr>
          <w:rFonts w:ascii="Arial" w:cs="Arial" w:eastAsia="Arial" w:hAnsi="Arial"/>
          <w:sz w:val="24"/>
          <w:szCs w:val="24"/>
        </w:rPr>
        <w:t xml:space="preserve">В соответствии с частью 1 </w:t>
      </w:r>
      <w:hyperlink w:history="1" r:id="rIdpcoto099ydoytulvtguf1">
        <w:r>
          <w:rPr>
            <w:rFonts w:ascii="Arial" w:cs="Arial" w:eastAsia="Arial" w:hAnsi="Arial"/>
            <w:color w:val="1D4ED8"/>
            <w:sz w:val="24"/>
            <w:szCs w:val="24"/>
            <w:u w:val="single"/>
          </w:rPr>
          <w:t xml:space="preserve">статьи 63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Бюджетного кодекса Кыргызской Республики, статьями </w:t>
      </w:r>
      <w:hyperlink w:history="1" r:id="rIdkxesdxujp2cpgvljje_3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saqurkhqfxhlql9ftadwh">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lztuvoajonyyhcgczvr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6kbvqkxqw-pmkmu-hwlkr">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предоставления поручительства субъектам национальной экономики" от 23 сентября 2025 года № 605 следующие изменения:</w:t>
      </w:r>
    </w:p>
    <w:p>
      <w:pPr>
        <w:spacing w:after="60"/>
        <w:ind w:firstLine="567"/>
        <w:jc w:val="both"/>
      </w:pPr>
      <w:r>
        <w:rPr>
          <w:rFonts w:ascii="Arial" w:cs="Arial" w:eastAsia="Arial" w:hAnsi="Arial"/>
          <w:sz w:val="24"/>
          <w:szCs w:val="24"/>
        </w:rPr>
        <w:t xml:space="preserve">в </w:t>
      </w:r>
      <w:hyperlink w:history="1" r:id="rIdz18kxpymtp3l30zobnpr0">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предоставления поручительства субъектам национальной экономики, утвержденном вышеуказанным </w:t>
      </w:r>
      <w:hyperlink w:history="1" r:id="rId2kzgnaxo-segu82j_oti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Поручительство предоставляется для обеспечения обязательств в части, не покрываемой залоговым обеспечением по кредиту, лизингу или банковской гарантии.</w:t>
      </w:r>
    </w:p>
    <w:p>
      <w:pPr>
        <w:spacing w:after="60"/>
        <w:ind w:firstLine="567"/>
        <w:jc w:val="both"/>
      </w:pPr>
      <w:r>
        <w:rPr>
          <w:rFonts w:ascii="Arial" w:cs="Arial" w:eastAsia="Arial" w:hAnsi="Arial"/>
          <w:sz w:val="24"/>
          <w:szCs w:val="24"/>
        </w:rPr>
        <w:t xml:space="preserve">При этом предоставление поручительства по обязательствам субъекта, полностью не обеспеченным залогом, допускается исключительно в случаях, связанных с обеспечением экономической и (или) национальной безопасности страны, на основании решения Кабинета Министров.</w:t>
      </w:r>
    </w:p>
    <w:p>
      <w:pPr>
        <w:spacing w:after="60"/>
        <w:ind w:firstLine="567"/>
        <w:jc w:val="both"/>
      </w:pPr>
      <w:r>
        <w:rPr>
          <w:rFonts w:ascii="Arial" w:cs="Arial" w:eastAsia="Arial" w:hAnsi="Arial"/>
          <w:sz w:val="24"/>
          <w:szCs w:val="24"/>
        </w:rPr>
        <w:t xml:space="preserve">Положения настоящего пункта применяются с учетом требований, предусмотренных пунктом 4</w:t>
      </w:r>
      <w:r>
        <w:rPr>
          <w:rFonts w:ascii="Arial" w:cs="Arial" w:eastAsia="Arial" w:hAnsi="Arial"/>
          <w:sz w:val="24"/>
          <w:szCs w:val="24"/>
        </w:rPr>
        <w:t xml:space="preserve">1</w:t>
      </w:r>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 дополнить пунктом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Размер поручительства не может превышать 80 процентов от общей суммы обязательств субъекта по кредиту, лизингу или банковской гарантии, включая основную сумму долга, начисленные проценты и иные платежи, предусмотренные договором, заключенным между кредитором и субъектом.</w:t>
      </w:r>
    </w:p>
    <w:p>
      <w:pPr>
        <w:spacing w:after="60"/>
        <w:ind w:firstLine="567"/>
        <w:jc w:val="both"/>
      </w:pPr>
      <w:r>
        <w:rPr>
          <w:rFonts w:ascii="Arial" w:cs="Arial" w:eastAsia="Arial" w:hAnsi="Arial"/>
          <w:sz w:val="24"/>
          <w:szCs w:val="24"/>
        </w:rPr>
        <w:t xml:space="preserve">Допускается предоставление поручительства в размере 100 процентов от общей суммы обязательств по кредиту, лизингу или банковской гарантии, включая основную сумму долга, начисленные проценты и иные платежи, предусмотренные договором, заключенным между кредитором и субъектом, в отношении:</w:t>
      </w:r>
    </w:p>
    <w:p>
      <w:pPr>
        <w:spacing w:after="60"/>
        <w:ind w:firstLine="567"/>
        <w:jc w:val="both"/>
      </w:pPr>
      <w:r>
        <w:rPr>
          <w:rFonts w:ascii="Arial" w:cs="Arial" w:eastAsia="Arial" w:hAnsi="Arial"/>
          <w:sz w:val="24"/>
          <w:szCs w:val="24"/>
        </w:rPr>
        <w:t xml:space="preserve">- государственных и муниципальных органов, предприятий и учреждений;</w:t>
      </w:r>
    </w:p>
    <w:p>
      <w:pPr>
        <w:spacing w:after="60"/>
        <w:ind w:firstLine="567"/>
        <w:jc w:val="both"/>
      </w:pPr>
      <w:r>
        <w:rPr>
          <w:rFonts w:ascii="Arial" w:cs="Arial" w:eastAsia="Arial" w:hAnsi="Arial"/>
          <w:sz w:val="24"/>
          <w:szCs w:val="24"/>
        </w:rPr>
        <w:t xml:space="preserve">- субъектов, в уставном капитале которых 50 и более процентов доли участия принадлежат государству;</w:t>
      </w:r>
    </w:p>
    <w:p>
      <w:pPr>
        <w:spacing w:after="60"/>
        <w:ind w:firstLine="567"/>
        <w:jc w:val="both"/>
      </w:pPr>
      <w:r>
        <w:rPr>
          <w:rFonts w:ascii="Arial" w:cs="Arial" w:eastAsia="Arial" w:hAnsi="Arial"/>
          <w:sz w:val="24"/>
          <w:szCs w:val="24"/>
        </w:rPr>
        <w:t xml:space="preserve">- субъектов независимо от их организационно-правовых форм и форм собственности при реализации проектов, включенных Комиссией при Кабинете Министров Кыргызской Республики по отбору национальных инвестиционных проектов и проектов государственного значения в перечень национальных инвестиционных проектов.";</w:t>
      </w:r>
    </w:p>
    <w:p>
      <w:pPr>
        <w:spacing w:after="60"/>
        <w:ind w:firstLine="567"/>
        <w:jc w:val="both"/>
      </w:pPr>
      <w:r>
        <w:rPr>
          <w:rFonts w:ascii="Arial" w:cs="Arial" w:eastAsia="Arial" w:hAnsi="Arial"/>
          <w:sz w:val="24"/>
          <w:szCs w:val="24"/>
        </w:rPr>
        <w:t xml:space="preserve">- пункт 5 изложить в следующей редакции:</w:t>
      </w:r>
    </w:p>
    <w:p>
      <w:pPr>
        <w:spacing w:after="60"/>
        <w:ind w:firstLine="567"/>
        <w:jc w:val="both"/>
      </w:pPr>
      <w:r>
        <w:rPr>
          <w:rFonts w:ascii="Arial" w:cs="Arial" w:eastAsia="Arial" w:hAnsi="Arial"/>
          <w:sz w:val="24"/>
          <w:szCs w:val="24"/>
        </w:rPr>
        <w:t xml:space="preserve">"5. Поручительство предоставляется на срок действия договора, заключенного между кредитором и субъектом, и прекращает свое действие после завершения обязательств поручителя.";</w:t>
      </w:r>
    </w:p>
    <w:p>
      <w:pPr>
        <w:spacing w:after="60"/>
        <w:ind w:firstLine="567"/>
        <w:jc w:val="both"/>
      </w:pPr>
      <w:r>
        <w:rPr>
          <w:rFonts w:ascii="Arial" w:cs="Arial" w:eastAsia="Arial" w:hAnsi="Arial"/>
          <w:sz w:val="24"/>
          <w:szCs w:val="24"/>
        </w:rPr>
        <w:t xml:space="preserve">- пункт 6 дополнить подпунктом 11 следующего содержания:</w:t>
      </w:r>
    </w:p>
    <w:p>
      <w:pPr>
        <w:spacing w:after="60"/>
        <w:ind w:firstLine="567"/>
        <w:jc w:val="both"/>
      </w:pPr>
      <w:r>
        <w:rPr>
          <w:rFonts w:ascii="Arial" w:cs="Arial" w:eastAsia="Arial" w:hAnsi="Arial"/>
          <w:sz w:val="24"/>
          <w:szCs w:val="24"/>
        </w:rPr>
        <w:t xml:space="preserve">"11) отраслевой государственный орган - государственный орган исполнительной власти, уполномоченный осуществлять государственную политику в соответствующей отрасли экономики.";</w:t>
      </w:r>
    </w:p>
    <w:p>
      <w:pPr>
        <w:spacing w:after="60"/>
        <w:ind w:firstLine="567"/>
        <w:jc w:val="both"/>
      </w:pPr>
      <w:r>
        <w:rPr>
          <w:rFonts w:ascii="Arial" w:cs="Arial" w:eastAsia="Arial" w:hAnsi="Arial"/>
          <w:sz w:val="24"/>
          <w:szCs w:val="24"/>
        </w:rPr>
        <w:t xml:space="preserve">- </w:t>
      </w:r>
      <w:hyperlink w:history="1" r:id="rIds6de8euithuiboysmyhwl">
        <w:r>
          <w:rPr>
            <w:rFonts w:ascii="Arial" w:cs="Arial" w:eastAsia="Arial" w:hAnsi="Arial"/>
            <w:color w:val="1D4ED8"/>
            <w:sz w:val="24"/>
            <w:szCs w:val="24"/>
            <w:u w:val="single"/>
          </w:rPr>
          <w:t xml:space="preserve">главу 1</w:t>
        </w:r>
      </w:hyperlink>
      <w:r>
        <w:rPr>
          <w:rFonts w:ascii="Arial" w:cs="Arial" w:eastAsia="Arial" w:hAnsi="Arial"/>
          <w:sz w:val="24"/>
          <w:szCs w:val="24"/>
        </w:rPr>
        <w:t xml:space="preserve"> дополнить пунктом 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Уполномоченный государственный орган по прогнозированию и исполнению бюджета ежегодно осуществляет мониторинг ликвидности средств поручителя по принятым обязательствам и предусматривает средства в республиканском бюджете в установленном порядке.";</w:t>
      </w:r>
    </w:p>
    <w:p>
      <w:pPr>
        <w:spacing w:after="60"/>
        <w:ind w:firstLine="567"/>
        <w:jc w:val="both"/>
      </w:pPr>
      <w:r>
        <w:rPr>
          <w:rFonts w:ascii="Arial" w:cs="Arial" w:eastAsia="Arial" w:hAnsi="Arial"/>
          <w:sz w:val="24"/>
          <w:szCs w:val="24"/>
        </w:rPr>
        <w:t xml:space="preserve">- пункты 9, 10 изложить в следующей редакции:</w:t>
      </w:r>
    </w:p>
    <w:p>
      <w:pPr>
        <w:spacing w:after="60"/>
        <w:ind w:firstLine="567"/>
        <w:jc w:val="both"/>
      </w:pPr>
      <w:r>
        <w:rPr>
          <w:rFonts w:ascii="Arial" w:cs="Arial" w:eastAsia="Arial" w:hAnsi="Arial"/>
          <w:sz w:val="24"/>
          <w:szCs w:val="24"/>
        </w:rPr>
        <w:t xml:space="preserve">"9. Для инициирования принятия решения Кабинетом Министров о предоставлении поручительства субъекту в уполномоченный государственный орган по экономическому прогнозированию представляются следующие документы:</w:t>
      </w:r>
    </w:p>
    <w:p>
      <w:pPr>
        <w:spacing w:after="60"/>
        <w:ind w:firstLine="567"/>
        <w:jc w:val="both"/>
      </w:pPr>
      <w:r>
        <w:rPr>
          <w:rFonts w:ascii="Arial" w:cs="Arial" w:eastAsia="Arial" w:hAnsi="Arial"/>
          <w:sz w:val="24"/>
          <w:szCs w:val="24"/>
        </w:rPr>
        <w:t xml:space="preserve">1) заявление о предоставлении поручительства;</w:t>
      </w:r>
    </w:p>
    <w:p>
      <w:pPr>
        <w:spacing w:after="60"/>
        <w:ind w:firstLine="567"/>
        <w:jc w:val="both"/>
      </w:pPr>
      <w:r>
        <w:rPr>
          <w:rFonts w:ascii="Arial" w:cs="Arial" w:eastAsia="Arial" w:hAnsi="Arial"/>
          <w:sz w:val="24"/>
          <w:szCs w:val="24"/>
        </w:rPr>
        <w:t xml:space="preserve">2) копии регистрационных и учредительных документов (устав, свидетельство о регистрации, патент, учредительный договор), заверенные печатью;</w:t>
      </w:r>
    </w:p>
    <w:p>
      <w:pPr>
        <w:spacing w:after="60"/>
        <w:ind w:firstLine="567"/>
        <w:jc w:val="both"/>
      </w:pPr>
      <w:r>
        <w:rPr>
          <w:rFonts w:ascii="Arial" w:cs="Arial" w:eastAsia="Arial" w:hAnsi="Arial"/>
          <w:sz w:val="24"/>
          <w:szCs w:val="24"/>
        </w:rPr>
        <w:t xml:space="preserve">3) копии паспорта руководителя и решения о назначении на должность;</w:t>
      </w:r>
    </w:p>
    <w:p>
      <w:pPr>
        <w:spacing w:after="60"/>
        <w:ind w:firstLine="567"/>
        <w:jc w:val="both"/>
      </w:pPr>
      <w:r>
        <w:rPr>
          <w:rFonts w:ascii="Arial" w:cs="Arial" w:eastAsia="Arial" w:hAnsi="Arial"/>
          <w:sz w:val="24"/>
          <w:szCs w:val="24"/>
        </w:rPr>
        <w:t xml:space="preserve">4) финансовая отчетность за последние три года, а в случае если субъект осуществляет деятельность менее трех лет, - финансовая отчетность за весь период деятельности;</w:t>
      </w:r>
    </w:p>
    <w:p>
      <w:pPr>
        <w:spacing w:after="60"/>
        <w:ind w:firstLine="567"/>
        <w:jc w:val="both"/>
      </w:pPr>
      <w:r>
        <w:rPr>
          <w:rFonts w:ascii="Arial" w:cs="Arial" w:eastAsia="Arial" w:hAnsi="Arial"/>
          <w:sz w:val="24"/>
          <w:szCs w:val="24"/>
        </w:rPr>
        <w:t xml:space="preserve">5) проект кредитного договора и (или) решение кредитного комитета, отражающие условия предоставления кредита;</w:t>
      </w:r>
    </w:p>
    <w:p>
      <w:pPr>
        <w:spacing w:after="60"/>
        <w:ind w:firstLine="567"/>
        <w:jc w:val="both"/>
      </w:pPr>
      <w:r>
        <w:rPr>
          <w:rFonts w:ascii="Arial" w:cs="Arial" w:eastAsia="Arial" w:hAnsi="Arial"/>
          <w:sz w:val="24"/>
          <w:szCs w:val="24"/>
        </w:rPr>
        <w:t xml:space="preserve">6) документы, подтверждающие обеспечение исполнения обязательств по договору поручительства, включая один или несколько из следующих документов:</w:t>
      </w:r>
    </w:p>
    <w:p>
      <w:pPr>
        <w:spacing w:after="60"/>
        <w:ind w:firstLine="567"/>
        <w:jc w:val="both"/>
      </w:pPr>
      <w:r>
        <w:rPr>
          <w:rFonts w:ascii="Arial" w:cs="Arial" w:eastAsia="Arial" w:hAnsi="Arial"/>
          <w:sz w:val="24"/>
          <w:szCs w:val="24"/>
        </w:rPr>
        <w:t xml:space="preserve">- копии документов, подтверждающих право собственности или право пользования имуществом, предоставляемым в залог;</w:t>
      </w:r>
    </w:p>
    <w:p>
      <w:pPr>
        <w:spacing w:after="60"/>
        <w:ind w:firstLine="567"/>
        <w:jc w:val="both"/>
      </w:pPr>
      <w:r>
        <w:rPr>
          <w:rFonts w:ascii="Arial" w:cs="Arial" w:eastAsia="Arial" w:hAnsi="Arial"/>
          <w:sz w:val="24"/>
          <w:szCs w:val="24"/>
        </w:rPr>
        <w:t xml:space="preserve">- копии регистрационных и учредительных документов дополнительного поручителя - юридического лица (устав, свидетельство о регистрации/перерегистрации, учредительный договор), заверенные печатью, а также решения органа управления юридического лица, определенного учредительными документами, о согласии выступить дополнительным поручителем по обязательствам субъекта по договору поручительства;</w:t>
      </w:r>
    </w:p>
    <w:p>
      <w:pPr>
        <w:spacing w:after="60"/>
        <w:ind w:firstLine="567"/>
        <w:jc w:val="both"/>
      </w:pPr>
      <w:r>
        <w:rPr>
          <w:rFonts w:ascii="Arial" w:cs="Arial" w:eastAsia="Arial" w:hAnsi="Arial"/>
          <w:sz w:val="24"/>
          <w:szCs w:val="24"/>
        </w:rPr>
        <w:t xml:space="preserve">- копия паспорта дополнительного поручителя - физического лица;</w:t>
      </w:r>
    </w:p>
    <w:p>
      <w:pPr>
        <w:spacing w:after="60"/>
        <w:ind w:firstLine="567"/>
        <w:jc w:val="both"/>
      </w:pPr>
      <w:r>
        <w:rPr>
          <w:rFonts w:ascii="Arial" w:cs="Arial" w:eastAsia="Arial" w:hAnsi="Arial"/>
          <w:sz w:val="24"/>
          <w:szCs w:val="24"/>
        </w:rPr>
        <w:t xml:space="preserve">- проект банковской гарантии и (или) решение кредитного комитета, отражающие условия предоставления банковской гарантии в качестве обеспечения обязательств субъекта по договору поручительства;</w:t>
      </w:r>
    </w:p>
    <w:p>
      <w:pPr>
        <w:spacing w:after="60"/>
        <w:ind w:firstLine="567"/>
        <w:jc w:val="both"/>
      </w:pPr>
      <w:r>
        <w:rPr>
          <w:rFonts w:ascii="Arial" w:cs="Arial" w:eastAsia="Arial" w:hAnsi="Arial"/>
          <w:sz w:val="24"/>
          <w:szCs w:val="24"/>
        </w:rPr>
        <w:t xml:space="preserve">- решение (согласие) органа управления субъекта, определенного учредительными документами, о предоставлении поручителю права на безакцептное (бесспорное) списание денежных средств;</w:t>
      </w:r>
    </w:p>
    <w:p>
      <w:pPr>
        <w:spacing w:after="60"/>
        <w:ind w:firstLine="567"/>
        <w:jc w:val="both"/>
      </w:pPr>
      <w:r>
        <w:rPr>
          <w:rFonts w:ascii="Arial" w:cs="Arial" w:eastAsia="Arial" w:hAnsi="Arial"/>
          <w:sz w:val="24"/>
          <w:szCs w:val="24"/>
        </w:rPr>
        <w:t xml:space="preserve">- копии документов на иное обеспечение, предусмотренное законодательством Кыргызской Республики;</w:t>
      </w:r>
    </w:p>
    <w:p>
      <w:pPr>
        <w:spacing w:after="60"/>
        <w:ind w:firstLine="567"/>
        <w:jc w:val="both"/>
      </w:pPr>
      <w:r>
        <w:rPr>
          <w:rFonts w:ascii="Arial" w:cs="Arial" w:eastAsia="Arial" w:hAnsi="Arial"/>
          <w:sz w:val="24"/>
          <w:szCs w:val="24"/>
        </w:rPr>
        <w:t xml:space="preserve">7) решение (согласие) органа управления субъекта, определенного учредительными документами, на заключение договора поручительства, договора залога (в случае предоставления залога в обеспечение исполнения обязательств по договору поручительства), а также договора о безакцептном (бесспорном) списании денежных средств с указанием лица, уполномоченного на подписание указанных договоров;</w:t>
      </w:r>
    </w:p>
    <w:p>
      <w:pPr>
        <w:spacing w:after="60"/>
        <w:ind w:firstLine="567"/>
        <w:jc w:val="both"/>
      </w:pPr>
      <w:r>
        <w:rPr>
          <w:rFonts w:ascii="Arial" w:cs="Arial" w:eastAsia="Arial" w:hAnsi="Arial"/>
          <w:sz w:val="24"/>
          <w:szCs w:val="24"/>
        </w:rPr>
        <w:t xml:space="preserve">8) копия паспорта лица, уполномоченного на подписание договора поручительства, договора залога (в случае предоставления залога в обеспечение исполнения обязательств по договору поручительства), а также договора о безакцептном (бесспорном) списании денежных средств;</w:t>
      </w:r>
    </w:p>
    <w:p>
      <w:pPr>
        <w:spacing w:after="60"/>
        <w:ind w:firstLine="567"/>
        <w:jc w:val="both"/>
      </w:pPr>
      <w:r>
        <w:rPr>
          <w:rFonts w:ascii="Arial" w:cs="Arial" w:eastAsia="Arial" w:hAnsi="Arial"/>
          <w:sz w:val="24"/>
          <w:szCs w:val="24"/>
        </w:rPr>
        <w:t xml:space="preserve">9) информация и (или) справка об отсутствии задолженности по налогам и страховым взносам;</w:t>
      </w:r>
    </w:p>
    <w:p>
      <w:pPr>
        <w:spacing w:after="60"/>
        <w:ind w:firstLine="567"/>
        <w:jc w:val="both"/>
      </w:pPr>
      <w:r>
        <w:rPr>
          <w:rFonts w:ascii="Arial" w:cs="Arial" w:eastAsia="Arial" w:hAnsi="Arial"/>
          <w:sz w:val="24"/>
          <w:szCs w:val="24"/>
        </w:rPr>
        <w:t xml:space="preserve">10) бизнес-план.</w:t>
      </w:r>
    </w:p>
    <w:p>
      <w:pPr>
        <w:spacing w:after="60"/>
        <w:ind w:firstLine="567"/>
        <w:jc w:val="both"/>
      </w:pPr>
      <w:r>
        <w:rPr>
          <w:rFonts w:ascii="Arial" w:cs="Arial" w:eastAsia="Arial" w:hAnsi="Arial"/>
          <w:sz w:val="24"/>
          <w:szCs w:val="24"/>
        </w:rPr>
        <w:t xml:space="preserve">Отдельные части подпунктов 2, 3 и 9 настоящего пункта не применяются в случае, если документы получены через систему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10. При рассмотрении заявлений на предоставление поручительства для реализации инфраструктурных и промышленных проектов дополнительно предоставляются один или несколько следующих документов:</w:t>
      </w:r>
    </w:p>
    <w:p>
      <w:pPr>
        <w:spacing w:after="60"/>
        <w:ind w:firstLine="567"/>
        <w:jc w:val="both"/>
      </w:pPr>
      <w:r>
        <w:rPr>
          <w:rFonts w:ascii="Arial" w:cs="Arial" w:eastAsia="Arial" w:hAnsi="Arial"/>
          <w:sz w:val="24"/>
          <w:szCs w:val="24"/>
        </w:rPr>
        <w:t xml:space="preserve">1) технико-экономическое обоснование с положительным заключением отраслевого уполномоченного органа;</w:t>
      </w:r>
    </w:p>
    <w:p>
      <w:pPr>
        <w:spacing w:after="60"/>
        <w:ind w:firstLine="567"/>
        <w:jc w:val="both"/>
      </w:pPr>
      <w:r>
        <w:rPr>
          <w:rFonts w:ascii="Arial" w:cs="Arial" w:eastAsia="Arial" w:hAnsi="Arial"/>
          <w:sz w:val="24"/>
          <w:szCs w:val="24"/>
        </w:rPr>
        <w:t xml:space="preserve">2) проектно-сметная документация с положительным заключением отраслевого уполномоченного органа;</w:t>
      </w:r>
    </w:p>
    <w:p>
      <w:pPr>
        <w:spacing w:after="60"/>
        <w:ind w:firstLine="567"/>
        <w:jc w:val="both"/>
      </w:pPr>
      <w:r>
        <w:rPr>
          <w:rFonts w:ascii="Arial" w:cs="Arial" w:eastAsia="Arial" w:hAnsi="Arial"/>
          <w:sz w:val="24"/>
          <w:szCs w:val="24"/>
        </w:rPr>
        <w:t xml:space="preserve">3) аналогичные прайс-листы на приобретаемое оборудование, сооружение и иные объекты;</w:t>
      </w:r>
    </w:p>
    <w:p>
      <w:pPr>
        <w:spacing w:after="60"/>
        <w:ind w:firstLine="567"/>
        <w:jc w:val="both"/>
      </w:pPr>
      <w:r>
        <w:rPr>
          <w:rFonts w:ascii="Arial" w:cs="Arial" w:eastAsia="Arial" w:hAnsi="Arial"/>
          <w:sz w:val="24"/>
          <w:szCs w:val="24"/>
        </w:rPr>
        <w:t xml:space="preserve">4) контракты, договоры и соглашения;</w:t>
      </w:r>
    </w:p>
    <w:p>
      <w:pPr>
        <w:spacing w:after="60"/>
        <w:ind w:firstLine="567"/>
        <w:jc w:val="both"/>
      </w:pPr>
      <w:r>
        <w:rPr>
          <w:rFonts w:ascii="Arial" w:cs="Arial" w:eastAsia="Arial" w:hAnsi="Arial"/>
          <w:sz w:val="24"/>
          <w:szCs w:val="24"/>
        </w:rPr>
        <w:t xml:space="preserve">5) учредительные документы и финансовая отчетность за последние три года организации и (или) аффилированных организаций с учредителями субъекта, претендующего на получение поручительства;</w:t>
      </w:r>
    </w:p>
    <w:p>
      <w:pPr>
        <w:spacing w:after="60"/>
        <w:ind w:firstLine="567"/>
        <w:jc w:val="both"/>
      </w:pPr>
      <w:r>
        <w:rPr>
          <w:rFonts w:ascii="Arial" w:cs="Arial" w:eastAsia="Arial" w:hAnsi="Arial"/>
          <w:sz w:val="24"/>
          <w:szCs w:val="24"/>
        </w:rPr>
        <w:t xml:space="preserve">6) информация и (или) справки коммерческих банков, обслуживающих счета субъекта, об оборотах по расчетным счетам за последние шесть месяцев;</w:t>
      </w:r>
    </w:p>
    <w:p>
      <w:pPr>
        <w:spacing w:after="60"/>
        <w:ind w:firstLine="567"/>
        <w:jc w:val="both"/>
      </w:pPr>
      <w:r>
        <w:rPr>
          <w:rFonts w:ascii="Arial" w:cs="Arial" w:eastAsia="Arial" w:hAnsi="Arial"/>
          <w:sz w:val="24"/>
          <w:szCs w:val="24"/>
        </w:rPr>
        <w:t xml:space="preserve">7) информация и (или)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По итогам проведенного анализа и полученных от поручителя результатов рассмотрения полного пакета документов уполномоченный государственный орган по экономическому прогнозированию в установленном порядке принимает решение об отказе или инициировании проекта решения Кабинета Министров о предоставлении поручительства.";</w:t>
      </w:r>
    </w:p>
    <w:p>
      <w:pPr>
        <w:spacing w:after="60"/>
        <w:ind w:firstLine="567"/>
        <w:jc w:val="both"/>
      </w:pPr>
      <w:r>
        <w:rPr>
          <w:rFonts w:ascii="Arial" w:cs="Arial" w:eastAsia="Arial" w:hAnsi="Arial"/>
          <w:sz w:val="24"/>
          <w:szCs w:val="24"/>
        </w:rPr>
        <w:t xml:space="preserve">- дополнить пунктом 12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Поручитель в течение 7 рабочих дней со дня получения полного пакета документов, предусмотренного пунктами 9 и 10 настоящего Порядка, рассматривает представленные документы и сообщает о результатах уполномоченному государственному органу по экономическому прогнозированию.</w:t>
      </w:r>
    </w:p>
    <w:p>
      <w:pPr>
        <w:spacing w:after="60"/>
        <w:ind w:firstLine="567"/>
        <w:jc w:val="both"/>
      </w:pPr>
      <w:r>
        <w:rPr>
          <w:rFonts w:ascii="Arial" w:cs="Arial" w:eastAsia="Arial" w:hAnsi="Arial"/>
          <w:sz w:val="24"/>
          <w:szCs w:val="24"/>
        </w:rPr>
        <w:t xml:space="preserve">В случае выявления несоответствий в представленных документах или информации поручитель в установленном порядке в течение указанного срока направляет рекомендации по устранению выявленных недостатков.";</w:t>
      </w:r>
    </w:p>
    <w:p>
      <w:pPr>
        <w:spacing w:after="60"/>
        <w:ind w:firstLine="567"/>
        <w:jc w:val="both"/>
      </w:pPr>
      <w:r>
        <w:rPr>
          <w:rFonts w:ascii="Arial" w:cs="Arial" w:eastAsia="Arial" w:hAnsi="Arial"/>
          <w:sz w:val="24"/>
          <w:szCs w:val="24"/>
        </w:rPr>
        <w:t xml:space="preserve">- пункт 13 дополнить подпунктом 4 следующего содержания:</w:t>
      </w:r>
    </w:p>
    <w:p>
      <w:pPr>
        <w:spacing w:after="60"/>
        <w:ind w:firstLine="567"/>
        <w:jc w:val="both"/>
      </w:pPr>
      <w:r>
        <w:rPr>
          <w:rFonts w:ascii="Arial" w:cs="Arial" w:eastAsia="Arial" w:hAnsi="Arial"/>
          <w:sz w:val="24"/>
          <w:szCs w:val="24"/>
        </w:rPr>
        <w:t xml:space="preserve">"4) если субъект отнесен кредитором к категории высокого риска.";</w:t>
      </w:r>
    </w:p>
    <w:p>
      <w:pPr>
        <w:spacing w:after="60"/>
        <w:ind w:firstLine="567"/>
        <w:jc w:val="both"/>
      </w:pPr>
      <w:r>
        <w:rPr>
          <w:rFonts w:ascii="Arial" w:cs="Arial" w:eastAsia="Arial" w:hAnsi="Arial"/>
          <w:sz w:val="24"/>
          <w:szCs w:val="24"/>
        </w:rPr>
        <w:t xml:space="preserve">- в подпункте 4 пункта 14 слова "способ обеспечения исполнения обязательств поручителя" заменить словами "иные способы обеспечения исполнения обязательств по договору поручительства";</w:t>
      </w:r>
    </w:p>
    <w:p>
      <w:pPr>
        <w:spacing w:after="60"/>
        <w:ind w:firstLine="567"/>
        <w:jc w:val="both"/>
      </w:pPr>
      <w:r>
        <w:rPr>
          <w:rFonts w:ascii="Arial" w:cs="Arial" w:eastAsia="Arial" w:hAnsi="Arial"/>
          <w:sz w:val="24"/>
          <w:szCs w:val="24"/>
        </w:rPr>
        <w:t xml:space="preserve">- пункт 16 изложить в следующей редакции:</w:t>
      </w:r>
    </w:p>
    <w:p>
      <w:pPr>
        <w:spacing w:after="60"/>
        <w:ind w:firstLine="567"/>
        <w:jc w:val="both"/>
      </w:pPr>
      <w:r>
        <w:rPr>
          <w:rFonts w:ascii="Arial" w:cs="Arial" w:eastAsia="Arial" w:hAnsi="Arial"/>
          <w:sz w:val="24"/>
          <w:szCs w:val="24"/>
        </w:rPr>
        <w:t xml:space="preserve">"16. Кредиторы осуществляют финансовый анализ субъекта, включающий оценку кредитного риска и платежеспособности субъекта без привлечения поручителя, а также мониторинг целевого использования выданных кредитных средств.</w:t>
      </w:r>
    </w:p>
    <w:p>
      <w:pPr>
        <w:spacing w:after="60"/>
        <w:ind w:firstLine="567"/>
        <w:jc w:val="both"/>
      </w:pPr>
      <w:r>
        <w:rPr>
          <w:rFonts w:ascii="Arial" w:cs="Arial" w:eastAsia="Arial" w:hAnsi="Arial"/>
          <w:sz w:val="24"/>
          <w:szCs w:val="24"/>
        </w:rPr>
        <w:t xml:space="preserve">В отношении кредиторов, деятельность которых регулируется Национальным банком Кыргызской Республики, указанные процедуры осуществляются в соответствии с нормативными правовыми актами Национального банка Кыргызской Республики и внутренними нормативными документами.";</w:t>
      </w:r>
    </w:p>
    <w:p>
      <w:pPr>
        <w:spacing w:after="60"/>
        <w:ind w:firstLine="567"/>
        <w:jc w:val="both"/>
      </w:pPr>
      <w:r>
        <w:rPr>
          <w:rFonts w:ascii="Arial" w:cs="Arial" w:eastAsia="Arial" w:hAnsi="Arial"/>
          <w:sz w:val="24"/>
          <w:szCs w:val="24"/>
        </w:rPr>
        <w:t xml:space="preserve">- пункт 18 изложить в следующей редакции:</w:t>
      </w:r>
    </w:p>
    <w:p>
      <w:pPr>
        <w:spacing w:after="60"/>
        <w:ind w:firstLine="567"/>
        <w:jc w:val="both"/>
      </w:pPr>
      <w:r>
        <w:rPr>
          <w:rFonts w:ascii="Arial" w:cs="Arial" w:eastAsia="Arial" w:hAnsi="Arial"/>
          <w:sz w:val="24"/>
          <w:szCs w:val="24"/>
        </w:rPr>
        <w:t xml:space="preserve">"18. Поручительство предоставляется после получения заключения кредитора о выдаче кредита, лизинга и (или) банковской гарантии и заверенной копии подписанного договора. Решение о предоставлении поручительства принимается после проведения анализа кредитного риска и подтверждения платежеспособности, проведенных кредитором и подтвержденных поручителем на основании методики оценки кредитных рисков, только после получения письменного обращения кредитора.";</w:t>
      </w:r>
    </w:p>
    <w:p>
      <w:pPr>
        <w:spacing w:after="60"/>
        <w:ind w:firstLine="567"/>
        <w:jc w:val="both"/>
      </w:pPr>
      <w:r>
        <w:rPr>
          <w:rFonts w:ascii="Arial" w:cs="Arial" w:eastAsia="Arial" w:hAnsi="Arial"/>
          <w:sz w:val="24"/>
          <w:szCs w:val="24"/>
        </w:rPr>
        <w:t xml:space="preserve">- дополнить пунктом 18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"18</w:t>
      </w:r>
      <w:r>
        <w:rPr>
          <w:rFonts w:ascii="Arial" w:cs="Arial" w:eastAsia="Arial" w:hAnsi="Arial"/>
          <w:sz w:val="24"/>
          <w:szCs w:val="24"/>
        </w:rPr>
        <w:t xml:space="preserve">1</w:t>
      </w:r>
      <w:r>
        <w:rPr>
          <w:rFonts w:ascii="Arial" w:cs="Arial" w:eastAsia="Arial" w:hAnsi="Arial"/>
          <w:sz w:val="24"/>
          <w:szCs w:val="24"/>
        </w:rPr>
        <w:t xml:space="preserve">. Для поручительств, стоимость которых составляет 20 и более процентов от балансовой стоимости активов, поручитель вправе проводить самостоятельную оценку кредитного риска на основании методики оценки кредитных рисков, утвержденной уполномоченным государственным органом по прогнозированию и исполнению бюджета.";</w:t>
      </w:r>
    </w:p>
    <w:p>
      <w:pPr>
        <w:spacing w:after="60"/>
        <w:ind w:firstLine="567"/>
        <w:jc w:val="both"/>
      </w:pPr>
      <w:r>
        <w:rPr>
          <w:rFonts w:ascii="Arial" w:cs="Arial" w:eastAsia="Arial" w:hAnsi="Arial"/>
          <w:sz w:val="24"/>
          <w:szCs w:val="24"/>
        </w:rPr>
        <w:t xml:space="preserve">- абзац второй пункта 19 изложить в следующей редакции:</w:t>
      </w:r>
    </w:p>
    <w:p>
      <w:pPr>
        <w:spacing w:after="60"/>
        <w:ind w:firstLine="567"/>
        <w:jc w:val="both"/>
      </w:pPr>
      <w:r>
        <w:rPr>
          <w:rFonts w:ascii="Arial" w:cs="Arial" w:eastAsia="Arial" w:hAnsi="Arial"/>
          <w:sz w:val="24"/>
          <w:szCs w:val="24"/>
        </w:rPr>
        <w:t xml:space="preserve">"Поручитель несет солидарную ответственность перед кредитором в случае, если он является залогодержателем первой очереди в отношении имущества субъекта и (или) третьих лиц, включая имущество, которое будет создано или приобретено в будущем, в том числе объекты, реализуемые с использованием финансирования по договору, заключенному между кредитором и субъектом, при условии, что стоимость такого обеспечения полностью покрывает сумму обязательств поручителя. В иных случаях ответственность поручителя является субсидиарной.";</w:t>
      </w:r>
    </w:p>
    <w:p>
      <w:pPr>
        <w:spacing w:after="60"/>
        <w:ind w:firstLine="567"/>
        <w:jc w:val="both"/>
      </w:pPr>
      <w:r>
        <w:rPr>
          <w:rFonts w:ascii="Arial" w:cs="Arial" w:eastAsia="Arial" w:hAnsi="Arial"/>
          <w:sz w:val="24"/>
          <w:szCs w:val="24"/>
        </w:rPr>
        <w:t xml:space="preserve">- пункт 20 изложить в следующей редакции:</w:t>
      </w:r>
    </w:p>
    <w:p>
      <w:pPr>
        <w:spacing w:after="120"/>
        <w:ind w:firstLine="567"/>
        <w:jc w:val="both"/>
      </w:pPr>
      <w:r>
        <w:rPr>
          <w:rFonts w:ascii="Arial" w:cs="Arial" w:eastAsia="Arial" w:hAnsi="Arial"/>
          <w:sz w:val="24"/>
          <w:szCs w:val="24"/>
        </w:rPr>
        <w:t xml:space="preserve">"20. За предоставление поручительства поручителем взимается комиссия в соответствии с нижеприведенной таблицей: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0"/>
        <w:gridCol w:w="1629"/>
        <w:gridCol w:w="1629"/>
        <w:gridCol w:w="1629"/>
        <w:gridCol w:w="1629"/>
      </w:tblGrid>
      <w:tr>
        <w:tc>
          <w:tcPr>
            <w:tcW w:type="dxa" w:w="366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Периодичность</w:t>
            </w:r>
          </w:p>
        </w:tc>
        <w:tc>
          <w:tcPr>
            <w:tcW w:type="dxa" w:w="32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Национальная валюта</w:t>
            </w:r>
          </w:p>
        </w:tc>
        <w:tc>
          <w:tcPr>
            <w:tcW w:type="dxa" w:w="32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Иностранная валюта</w:t>
            </w:r>
          </w:p>
        </w:tc>
      </w:tr>
      <w:tr>
        <w:tc>
          <w:tcPr>
            <w:vMerge w:val="continue"/>
            <w:tcBorders>
              <w:top w:val="single" w:color="CBBF9E" w:sz="4"/>
              <w:left w:val="single" w:color="CBBF9E" w:sz="4"/>
              <w:bottom w:val="single" w:color="CBBF9E" w:sz="4"/>
              <w:right w:val="single" w:color="CBBF9E" w:sz="4"/>
            </w:tcBorders>
          </w:tcP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Низкий риск</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риск</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Низкий риск</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риск</w:t>
            </w:r>
          </w:p>
        </w:tc>
      </w:tr>
      <w:tr>
        <w:tc>
          <w:tcPr>
            <w:tcW w:type="dxa" w:w="10176"/>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Субсидиарная ответственность</w:t>
            </w:r>
          </w:p>
        </w:tc>
      </w:tr>
      <w:tr>
        <w:tc>
          <w:tcPr>
            <w:tcW w:type="dxa" w:w="3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Разовая</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Ежегодная</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0176"/>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Солидарная ответственность</w:t>
            </w:r>
          </w:p>
        </w:tc>
      </w:tr>
      <w:tr>
        <w:tc>
          <w:tcPr>
            <w:tcW w:type="dxa" w:w="3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Разовая</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Ежегодная</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разовая комиссия, предусмотренная настоящим пунктом, начисляется на сумму поручительства и подлежит уплате субъектом до заключения договора поручительства;</w:t>
      </w:r>
    </w:p>
    <w:p>
      <w:pPr>
        <w:spacing w:after="60"/>
        <w:ind w:firstLine="567"/>
        <w:jc w:val="both"/>
      </w:pPr>
      <w:r>
        <w:rPr>
          <w:rFonts w:ascii="Arial" w:cs="Arial" w:eastAsia="Arial" w:hAnsi="Arial"/>
          <w:sz w:val="24"/>
          <w:szCs w:val="24"/>
        </w:rPr>
        <w:t xml:space="preserve">- ежегодная комиссия, предусмотренная настоящим пунктом, начисляется на остаток суммы поручительства по состоянию на 1 января каждого года и подлежит уплате субъектом до 1 марта соответствующего года.";</w:t>
      </w:r>
    </w:p>
    <w:p>
      <w:pPr>
        <w:spacing w:after="60"/>
        <w:ind w:firstLine="567"/>
        <w:jc w:val="both"/>
      </w:pPr>
      <w:r>
        <w:rPr>
          <w:rFonts w:ascii="Arial" w:cs="Arial" w:eastAsia="Arial" w:hAnsi="Arial"/>
          <w:sz w:val="24"/>
          <w:szCs w:val="24"/>
        </w:rPr>
        <w:t xml:space="preserve">- дополнить пунктом 20</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"20</w:t>
      </w:r>
      <w:r>
        <w:rPr>
          <w:rFonts w:ascii="Arial" w:cs="Arial" w:eastAsia="Arial" w:hAnsi="Arial"/>
          <w:sz w:val="24"/>
          <w:szCs w:val="24"/>
        </w:rPr>
        <w:t xml:space="preserve">1</w:t>
      </w:r>
      <w:r>
        <w:rPr>
          <w:rFonts w:ascii="Arial" w:cs="Arial" w:eastAsia="Arial" w:hAnsi="Arial"/>
          <w:sz w:val="24"/>
          <w:szCs w:val="24"/>
        </w:rPr>
        <w:t xml:space="preserve">. За рассмотрение вопроса о предоставлении поручительства уполномоченным государственным органом по экономическому прогнозированию взимается административный сбор в размере 200</w:t>
      </w:r>
      <w:r>
        <w:rPr>
          <w:rFonts w:ascii="Arial" w:cs="Arial" w:eastAsia="Arial" w:hAnsi="Arial"/>
          <w:sz w:val="24"/>
          <w:szCs w:val="24"/>
        </w:rPr>
        <w:t xml:space="preserve">000</w:t>
      </w:r>
      <w:r>
        <w:rPr>
          <w:rFonts w:ascii="Arial" w:cs="Arial" w:eastAsia="Arial" w:hAnsi="Arial"/>
          <w:sz w:val="24"/>
          <w:szCs w:val="24"/>
        </w:rPr>
        <w:t xml:space="preserve"> (двести тысяч) сомов.</w:t>
      </w:r>
    </w:p>
    <w:p>
      <w:pPr>
        <w:spacing w:after="60"/>
        <w:ind w:firstLine="567"/>
        <w:jc w:val="both"/>
      </w:pPr>
      <w:r>
        <w:rPr>
          <w:rFonts w:ascii="Arial" w:cs="Arial" w:eastAsia="Arial" w:hAnsi="Arial"/>
          <w:sz w:val="24"/>
          <w:szCs w:val="24"/>
        </w:rPr>
        <w:t xml:space="preserve">Требования, установленные настоящим пунктом, не распространяются на государственные и муниципальные органы, предприятия и учреждения, а также на субъекты, в уставном капитале которых 50 и более процентов доли участия принадлежат государству.";</w:t>
      </w:r>
    </w:p>
    <w:p>
      <w:pPr>
        <w:spacing w:after="60"/>
        <w:ind w:firstLine="567"/>
        <w:jc w:val="both"/>
      </w:pPr>
      <w:r>
        <w:rPr>
          <w:rFonts w:ascii="Arial" w:cs="Arial" w:eastAsia="Arial" w:hAnsi="Arial"/>
          <w:sz w:val="24"/>
          <w:szCs w:val="24"/>
        </w:rPr>
        <w:t xml:space="preserve">- пункт 21 изложить в следующей редакции:</w:t>
      </w:r>
    </w:p>
    <w:p>
      <w:pPr>
        <w:spacing w:after="60"/>
        <w:ind w:firstLine="567"/>
        <w:jc w:val="both"/>
      </w:pPr>
      <w:r>
        <w:rPr>
          <w:rFonts w:ascii="Arial" w:cs="Arial" w:eastAsia="Arial" w:hAnsi="Arial"/>
          <w:sz w:val="24"/>
          <w:szCs w:val="24"/>
        </w:rPr>
        <w:t xml:space="preserve">"21. Субъекту, имеющему стратегическое значение для экономической, продовольственной и (или) национальной безопасности страны, где 50 и более процентов доли участия в уставном капитале принадлежат государству, может быть предоставлена отсрочка в части оплаты комиссии, предусмотренной пунктом 20 настоящего Порядка, на срок, не превышающий половину срока договора, заключенного между кредитором и субъектом, но не более чем 36 месяцев.";</w:t>
      </w:r>
    </w:p>
    <w:p>
      <w:pPr>
        <w:spacing w:after="60"/>
        <w:ind w:firstLine="567"/>
        <w:jc w:val="both"/>
      </w:pPr>
      <w:r>
        <w:rPr>
          <w:rFonts w:ascii="Arial" w:cs="Arial" w:eastAsia="Arial" w:hAnsi="Arial"/>
          <w:sz w:val="24"/>
          <w:szCs w:val="24"/>
        </w:rPr>
        <w:t xml:space="preserve">- дополнить пунктами 21</w:t>
      </w:r>
      <w:r>
        <w:rPr>
          <w:rFonts w:ascii="Arial" w:cs="Arial" w:eastAsia="Arial" w:hAnsi="Arial"/>
          <w:sz w:val="24"/>
          <w:szCs w:val="24"/>
        </w:rPr>
        <w:t xml:space="preserve">1</w:t>
      </w:r>
      <w:r>
        <w:rPr>
          <w:rFonts w:ascii="Arial" w:cs="Arial" w:eastAsia="Arial" w:hAnsi="Arial"/>
          <w:sz w:val="24"/>
          <w:szCs w:val="24"/>
        </w:rPr>
        <w:t xml:space="preserve">, 21</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После ввода в эксплуатацию объектов, реализуемых с использованием финансирования по договору, заключенному между кредитором и субъектом, а также после принятия кредитором результатов финансирования в качестве обеспечения по указанному договору кредитор обязан освободить поручителя от обязательств по договору поручительства, если принятое обеспечение покрывает остаток обязательств субъекта по договору.</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В случае если кредитор принимает решение о сохранении поручительства после принятия обеспечения, включая объекты финансирования, иное имущество субъекта или третьих лиц, покрывающее остаток обязательств субъекта по договору, заключенному между кредитором и субъектом на момент принятия такого обеспечения, с кредитора взимается ежегодная комиссия в соответствии с пунктом 20 настоящего Порядка.";</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За нецелевое использование кредитных, лизинговых ресурсов, предоставление субъектом недостоверных сведений и документов, а также внесение изменений субъектом в любые договоры с третьими лицами, прямо или косвенно влияющие на возможность исполнения субъектом своих обязательств по договору, заключенному между кредитором и субъектом без согласия поручителя, поручитель вправе взыскать с субъекта неустойку в размере 5 процентов от общей суммы поручительства в соответствии с условиями договора поручительства.</w:t>
      </w:r>
    </w:p>
    <w:p>
      <w:pPr>
        <w:spacing w:after="60"/>
        <w:ind w:firstLine="567"/>
        <w:jc w:val="both"/>
      </w:pPr>
      <w:r>
        <w:rPr>
          <w:rFonts w:ascii="Arial" w:cs="Arial" w:eastAsia="Arial" w:hAnsi="Arial"/>
          <w:sz w:val="24"/>
          <w:szCs w:val="24"/>
        </w:rPr>
        <w:t xml:space="preserve">Сумма неустойки перечисляется на расчетный счет поручителя.";</w:t>
      </w:r>
    </w:p>
    <w:p>
      <w:pPr>
        <w:spacing w:after="60"/>
        <w:ind w:firstLine="567"/>
        <w:jc w:val="both"/>
      </w:pPr>
      <w:r>
        <w:rPr>
          <w:rFonts w:ascii="Arial" w:cs="Arial" w:eastAsia="Arial" w:hAnsi="Arial"/>
          <w:sz w:val="24"/>
          <w:szCs w:val="24"/>
        </w:rPr>
        <w:t xml:space="preserve">- дополнить пунктом 23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"23</w:t>
      </w:r>
      <w:r>
        <w:rPr>
          <w:rFonts w:ascii="Arial" w:cs="Arial" w:eastAsia="Arial" w:hAnsi="Arial"/>
          <w:sz w:val="24"/>
          <w:szCs w:val="24"/>
        </w:rPr>
        <w:t xml:space="preserve">1</w:t>
      </w:r>
      <w:r>
        <w:rPr>
          <w:rFonts w:ascii="Arial" w:cs="Arial" w:eastAsia="Arial" w:hAnsi="Arial"/>
          <w:sz w:val="24"/>
          <w:szCs w:val="24"/>
        </w:rPr>
        <w:t xml:space="preserve">. В случае внесения кредитором изменений, влекущих увеличение ответственности или иные неблагоприятные последствия для поручителя, а также при внесении иных изменений в договор, заключенный между кредитором и субъектом без согласия поручителя, поручитель вправе потребовать уплаты штрафа в размере 5 процентов от общей суммы поручительства.</w:t>
      </w:r>
    </w:p>
    <w:p>
      <w:pPr>
        <w:spacing w:after="60"/>
        <w:ind w:firstLine="567"/>
        <w:jc w:val="both"/>
      </w:pPr>
      <w:r>
        <w:rPr>
          <w:rFonts w:ascii="Arial" w:cs="Arial" w:eastAsia="Arial" w:hAnsi="Arial"/>
          <w:sz w:val="24"/>
          <w:szCs w:val="24"/>
        </w:rPr>
        <w:t xml:space="preserve">После получения уведомления от поручителя кредитор обязан произвести оплату суммы штрафа, указанной в уведомлении.";</w:t>
      </w:r>
    </w:p>
    <w:p>
      <w:pPr>
        <w:spacing w:after="60"/>
        <w:ind w:firstLine="567"/>
        <w:jc w:val="both"/>
      </w:pPr>
      <w:r>
        <w:rPr>
          <w:rFonts w:ascii="Arial" w:cs="Arial" w:eastAsia="Arial" w:hAnsi="Arial"/>
          <w:sz w:val="24"/>
          <w:szCs w:val="24"/>
        </w:rPr>
        <w:t xml:space="preserve">- пункт 25 изложить в следующей редакции:</w:t>
      </w:r>
    </w:p>
    <w:p>
      <w:pPr>
        <w:spacing w:after="60"/>
        <w:ind w:firstLine="567"/>
        <w:jc w:val="both"/>
      </w:pPr>
      <w:r>
        <w:rPr>
          <w:rFonts w:ascii="Arial" w:cs="Arial" w:eastAsia="Arial" w:hAnsi="Arial"/>
          <w:sz w:val="24"/>
          <w:szCs w:val="24"/>
        </w:rPr>
        <w:t xml:space="preserve">"25. При поступлении кредитору любых денежных средств от субъекта, третьих лиц или поручителей, включая субсидии по процентам, полученные кредитором, обязательства поручителя перед кредитором уменьшаются пропорционально сумме такого погашения. Средства, полученные от реализации залогового имущества, также уменьшают обязательства поручителя перед кредитором.";</w:t>
      </w:r>
    </w:p>
    <w:p>
      <w:pPr>
        <w:spacing w:after="60"/>
        <w:ind w:firstLine="567"/>
        <w:jc w:val="both"/>
      </w:pPr>
      <w:r>
        <w:rPr>
          <w:rFonts w:ascii="Arial" w:cs="Arial" w:eastAsia="Arial" w:hAnsi="Arial"/>
          <w:sz w:val="24"/>
          <w:szCs w:val="24"/>
        </w:rPr>
        <w:t xml:space="preserve">- пункт 26 дополнить абзацем следующего содержания:</w:t>
      </w:r>
    </w:p>
    <w:p>
      <w:pPr>
        <w:spacing w:after="60"/>
        <w:ind w:firstLine="567"/>
        <w:jc w:val="both"/>
      </w:pPr>
      <w:r>
        <w:rPr>
          <w:rFonts w:ascii="Arial" w:cs="Arial" w:eastAsia="Arial" w:hAnsi="Arial"/>
          <w:sz w:val="24"/>
          <w:szCs w:val="24"/>
        </w:rPr>
        <w:t xml:space="preserve">"При этом поручитель исполняет обязательства в соответствии с утвержденным графиком между кредитором и субъектом, осуществляя платежи по итогам соответствующего отчетного периода в конце отчетного года.";</w:t>
      </w:r>
    </w:p>
    <w:p>
      <w:pPr>
        <w:spacing w:after="60"/>
        <w:ind w:firstLine="567"/>
        <w:jc w:val="both"/>
      </w:pPr>
      <w:r>
        <w:rPr>
          <w:rFonts w:ascii="Arial" w:cs="Arial" w:eastAsia="Arial" w:hAnsi="Arial"/>
          <w:sz w:val="24"/>
          <w:szCs w:val="24"/>
        </w:rPr>
        <w:t xml:space="preserve">- пункты 27, 28 изложить в следующей редакции:</w:t>
      </w:r>
    </w:p>
    <w:p>
      <w:pPr>
        <w:spacing w:after="60"/>
        <w:ind w:firstLine="567"/>
        <w:jc w:val="both"/>
      </w:pPr>
      <w:r>
        <w:rPr>
          <w:rFonts w:ascii="Arial" w:cs="Arial" w:eastAsia="Arial" w:hAnsi="Arial"/>
          <w:sz w:val="24"/>
          <w:szCs w:val="24"/>
        </w:rPr>
        <w:t xml:space="preserve">"27. Обязательства поручителя по исполнению поручительства осуществляются за счет средств сформированных резервов на поручительство и собственного капитала. При этом годовой объем непогашенных обязательств не должен превышать 80 процентов от объема сформированных резервов на поручительство и собственного капитала.</w:t>
      </w:r>
    </w:p>
    <w:p>
      <w:pPr>
        <w:spacing w:after="60"/>
        <w:ind w:firstLine="567"/>
        <w:jc w:val="both"/>
      </w:pPr>
      <w:r>
        <w:rPr>
          <w:rFonts w:ascii="Arial" w:cs="Arial" w:eastAsia="Arial" w:hAnsi="Arial"/>
          <w:sz w:val="24"/>
          <w:szCs w:val="24"/>
        </w:rPr>
        <w:t xml:space="preserve">28. По согласованию сторон поручитель вправе исполнять принятые обязательства перед кредитором путем передачи государственных долговых ценных бумаг (государственные казначейские облигации, государственные казначейские векселя) по их номинальной стоимости.";</w:t>
      </w:r>
    </w:p>
    <w:p>
      <w:pPr>
        <w:spacing w:after="60"/>
        <w:ind w:firstLine="567"/>
        <w:jc w:val="both"/>
      </w:pPr>
      <w:r>
        <w:rPr>
          <w:rFonts w:ascii="Arial" w:cs="Arial" w:eastAsia="Arial" w:hAnsi="Arial"/>
          <w:sz w:val="24"/>
          <w:szCs w:val="24"/>
        </w:rPr>
        <w:t xml:space="preserve">- пункт 31 изложить в следующей редакции:</w:t>
      </w:r>
    </w:p>
    <w:p>
      <w:pPr>
        <w:spacing w:after="60"/>
        <w:ind w:firstLine="567"/>
        <w:jc w:val="both"/>
      </w:pPr>
      <w:r>
        <w:rPr>
          <w:rFonts w:ascii="Arial" w:cs="Arial" w:eastAsia="Arial" w:hAnsi="Arial"/>
          <w:sz w:val="24"/>
          <w:szCs w:val="24"/>
        </w:rPr>
        <w:t xml:space="preserve">"31. Обязанность поручителя, указанная в пункте 29 настоящего Порядка, возникает после предоставления кредитором заверенной выписки по ссудному счету субъекта и иных документов, предусмотренных договором поручительства. При этом, если договором поручительства предусмотрена субсидиарная ответственность поручителя, кредитор также обязан предоставить документы, подтверждающие принятие мер по взысканию задолженности с субъекта в порядке, предусмотренном договором поручительства и законодательством Кыргызской Республики.".</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 Тоо" от 29 мая 2026 года № 39 (3799)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A.А. Касымалиев</w:t>
      </w:r>
    </w:p>
    <w:p>
      <w:pPr>
        <w:spacing w:after="60"/>
        <w:ind w:firstLine="567"/>
        <w:jc w:val="both"/>
      </w:pPr>
      <w:r>
        <w:rPr>
          <w:rFonts w:ascii="Arial" w:cs="Arial" w:eastAsia="Arial" w:hAnsi="Arial"/>
          <w:sz w:val="24"/>
          <w:szCs w:val="24"/>
        </w:rPr>
        <w:t xml:space="preserve"/>
      </w:r>
    </w:p>
    <w:p>
      <w:pPr>
        <w:spacing w:after="120"/>
        <w:ind w:firstLine="8504"/>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emg_o3idu6ix7dyvqics">
      <w:r>
        <w:rPr>
          <w:rFonts w:ascii="Arial" w:cs="Arial" w:eastAsia="Arial" w:hAnsi="Arial"/>
          <w:color w:val="132D3F"/>
          <w:sz w:val="16"/>
          <w:szCs w:val="16"/>
          <w:u w:val="single"/>
        </w:rPr>
        <w:t xml:space="preserve">dalil.kg/document/230046883</w:t>
      </w:r>
    </w:hyperlink>
  </w:p>
  <w:p>
    <w:pPr>
      <w:spacing w:after="0" w:before="40"/>
      <w:jc w:val="center"/>
    </w:pPr>
    <w:hyperlink w:history="1" r:id="rIdvhlsonswivxywn-t1aw6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coto099ydoytulvtguf1" Type="http://schemas.openxmlformats.org/officeDocument/2006/relationships/hyperlink" Target="https://dalil.kg/document/111338#st_63_1" TargetMode="External"/><Relationship Id="rIdkxesdxujp2cpgvljje_3m" Type="http://schemas.openxmlformats.org/officeDocument/2006/relationships/hyperlink" Target="https://dalil.kg/document/112301#st_13" TargetMode="External"/><Relationship Id="rIdsaqurkhqfxhlql9ftadwh" Type="http://schemas.openxmlformats.org/officeDocument/2006/relationships/hyperlink" Target="https://dalil.kg/document/112301#st_17" TargetMode="External"/><Relationship Id="rIdlztuvoajonyyhcgczvrzo" Type="http://schemas.openxmlformats.org/officeDocument/2006/relationships/hyperlink" Target="https://dalil.kg/document/230031529" TargetMode="External"/><Relationship Id="rId6kbvqkxqw-pmkmu-hwlkr" Type="http://schemas.openxmlformats.org/officeDocument/2006/relationships/hyperlink" Target="https://dalil.kg/document/230031532" TargetMode="External"/><Relationship Id="rIdz18kxpymtp3l30zobnpr0" Type="http://schemas.openxmlformats.org/officeDocument/2006/relationships/hyperlink" Target="https://dalil.kg/document/230031532" TargetMode="External"/><Relationship Id="rId2kzgnaxo-segu82j_oti6" Type="http://schemas.openxmlformats.org/officeDocument/2006/relationships/hyperlink" Target="https://dalil.kg/document/230031529" TargetMode="External"/><Relationship Id="rIds6de8euithuiboysmyhwl" Type="http://schemas.openxmlformats.org/officeDocument/2006/relationships/hyperlink" Target="https://dalil.kg/document/230031532#g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emg_o3idu6ix7dyvqics" Type="http://schemas.openxmlformats.org/officeDocument/2006/relationships/hyperlink" Target="https://dalil.kg/document/230046883" TargetMode="External"/><Relationship Id="rIdvhlsonswivxywn-t1aw6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2026-09-24T07:31:45.328Z</dcterms:created>
  <dcterms:modified xsi:type="dcterms:W3CDTF">2026-09-24T07:31:45.328Z</dcterms:modified>
</cp:coreProperties>
</file>

<file path=docProps/custom.xml><?xml version="1.0" encoding="utf-8"?>
<Properties xmlns="http://schemas.openxmlformats.org/officeDocument/2006/custom-properties" xmlns:vt="http://schemas.openxmlformats.org/officeDocument/2006/docPropsVTypes"/>
</file>