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принятия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 июня 2026 года № 543-VIII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изменений в Уголовно-процессуальный кодекс Кыргызской Республики»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</w:t>
      </w:r>
      <w:r>
        <w:rPr>
          <w:rFonts w:ascii="Arial" w:cs="Arial" w:eastAsia="Arial" w:hAnsi="Arial"/>
          <w:sz w:val="24"/>
          <w:szCs w:val="24"/>
        </w:rPr>
        <w:t xml:space="preserve">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внесении изменений в Уголовно-процессуальный кодекс Кыргызской Республики», инициированный Председателем Кабинета Министров Кыргызской Республики (исх. № 23-</w:t>
      </w:r>
      <w:r>
        <w:rPr>
          <w:rFonts w:ascii="Arial" w:cs="Arial" w:eastAsia="Arial" w:hAnsi="Arial"/>
          <w:sz w:val="24"/>
          <w:szCs w:val="24"/>
        </w:rPr>
        <w:t xml:space="preserve">3720</w:t>
      </w:r>
      <w:r>
        <w:rPr>
          <w:rFonts w:ascii="Arial" w:cs="Arial" w:eastAsia="Arial" w:hAnsi="Arial"/>
          <w:sz w:val="24"/>
          <w:szCs w:val="24"/>
        </w:rPr>
        <w:t xml:space="preserve"> от 30 марта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судебно-правовым вопросам, правопорядку, борьбе с преступностью и противодействию коррупции </w:t>
      </w:r>
      <w:r>
        <w:rPr>
          <w:rFonts w:ascii="Arial" w:cs="Arial" w:eastAsia="Arial" w:hAnsi="Arial"/>
          <w:sz w:val="24"/>
          <w:szCs w:val="24"/>
        </w:rPr>
        <w:t xml:space="preserve">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kwpv_w0ahqn0qjdb9c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dalil.kg/document/230047148</w:t>
      </w:r>
    </w:hyperlink>
  </w:p>
  <w:p>
    <w:pPr>
      <w:spacing w:after="0" w:before="40"/>
      <w:jc w:val="center"/>
    </w:pPr>
    <w:hyperlink w:history="1" r:id="rIdytopiduczae7hkmfc6x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kwpv_w0ahqn0qjdb9cky" Type="http://schemas.openxmlformats.org/officeDocument/2006/relationships/hyperlink" Target="https://dalil.kg/document/230047148" TargetMode="External"/><Relationship Id="rIdytopiduczae7hkmfc6xr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2026-09-24T23:12:34.322Z</dcterms:created>
  <dcterms:modified xsi:type="dcterms:W3CDTF">2026-09-24T23:12:34.322Z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