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14 мая </w:t>
      </w:r>
      <w:r>
        <w:rPr>
          <w:rFonts w:ascii="Arial" w:cs="Arial" w:eastAsia="Arial" w:hAnsi="Arial"/>
          <w:sz w:val="24"/>
          <w:szCs w:val="24"/>
        </w:rPr>
        <w:t xml:space="preserve">202</w:t>
      </w:r>
      <w:r>
        <w:rPr>
          <w:rFonts w:ascii="Arial" w:cs="Arial" w:eastAsia="Arial" w:hAnsi="Arial"/>
          <w:sz w:val="24"/>
          <w:szCs w:val="24"/>
        </w:rPr>
        <w:t xml:space="preserve">6 </w:t>
      </w:r>
      <w:r>
        <w:rPr>
          <w:rFonts w:ascii="Arial" w:cs="Arial" w:eastAsia="Arial" w:hAnsi="Arial"/>
          <w:sz w:val="24"/>
          <w:szCs w:val="24"/>
        </w:rPr>
        <w:t xml:space="preserve">года № </w:t>
      </w:r>
      <w:r>
        <w:rPr>
          <w:rFonts w:ascii="Arial" w:cs="Arial" w:eastAsia="Arial" w:hAnsi="Arial"/>
          <w:sz w:val="24"/>
          <w:szCs w:val="24"/>
        </w:rPr>
        <w:t xml:space="preserve">489-VIII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вопросов ведения комитетов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Жогорку Кенеша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2 </w:t>
      </w:r>
      <w:hyperlink w:history="1" r:id="rIdms2uuiujin0xhsobn4pr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Регламенте Жогорку Кенеша Кыргызской Республики» 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вопросы ведения комитетов Жогорку Кенеша Кыргызской Республики (прилагается).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Рекомендовать Комитету </w:t>
      </w:r>
      <w:r>
        <w:rPr>
          <w:rFonts w:ascii="Arial" w:cs="Arial" w:eastAsia="Arial" w:hAnsi="Arial"/>
          <w:sz w:val="24"/>
          <w:szCs w:val="24"/>
        </w:rPr>
        <w:t xml:space="preserve">Жогорку Кенеша Кыргызской Республики по конституционному законодательству, государственному устройству, местному самоуправлению и Регламенту Жогорку Кенеша</w:t>
      </w:r>
      <w:r>
        <w:rPr>
          <w:rFonts w:ascii="Arial" w:cs="Arial" w:eastAsia="Arial" w:hAnsi="Arial"/>
          <w:sz w:val="24"/>
          <w:szCs w:val="24"/>
        </w:rPr>
        <w:t xml:space="preserve"> осуществлять дальнейшую </w:t>
      </w:r>
      <w:r>
        <w:rPr>
          <w:rFonts w:ascii="Arial" w:cs="Arial" w:eastAsia="Arial" w:hAnsi="Arial"/>
          <w:sz w:val="24"/>
          <w:szCs w:val="24"/>
        </w:rPr>
        <w:t xml:space="preserve">оптимизацию вопросов ведения комитетов Жогорку Кенеша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</w:t>
      </w:r>
      <w:hyperlink w:history="1" r:id="rIds3yk9mizvffxjwxalyhu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18 сентября 2024 года № 2357-VII «Об утверждении вопросов ведения комитетов Жогорку Кенеша Кыргызской Республики».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постановления возложить на Торага Жогорку Кенеша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принятия.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на официальном сайте https://kenesh.kg/ru/law-activity/resolutions/7764 от 25 мая 2026 года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М.А. Маматалиев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ibxy2yy7ssj9td8lir5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dalil.kg/document/230047626</w:t>
      </w:r>
    </w:hyperlink>
  </w:p>
  <w:p>
    <w:pPr>
      <w:spacing w:after="0" w:before="40"/>
      <w:jc w:val="center"/>
    </w:pPr>
    <w:hyperlink w:history="1" r:id="rId0hxrltyomox6cy1owatk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s2uuiujin0xhsobn4pr5" Type="http://schemas.openxmlformats.org/officeDocument/2006/relationships/hyperlink" Target="https://dalil.kg/document/112437#st_23" TargetMode="External"/><Relationship Id="rIds3yk9mizvffxjwxalyhuf" Type="http://schemas.openxmlformats.org/officeDocument/2006/relationships/hyperlink" Target="https://dalil.kg/document/23001481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ibxy2yy7ssj9td8lir5w" Type="http://schemas.openxmlformats.org/officeDocument/2006/relationships/hyperlink" Target="https://dalil.kg/document/230047626" TargetMode="External"/><Relationship Id="rId0hxrltyomox6cy1owatk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2026-09-26T02:57:24.324Z</dcterms:created>
  <dcterms:modified xsi:type="dcterms:W3CDTF">2026-09-26T02:57:24.324Z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