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СТРОИТЕЛЬСТВА, АРХИТЕКТУРЫ И ЖИЛИЩНО-КОММУНАЛЬНОГО ХОЗЯЙСТВА КЫРГЫЗСКОЙ РЕСПУБЛИКИ</w:t>
      </w:r>
    </w:p>
    <w:p>
      <w:pPr>
        <w:spacing w:after="12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мая 2026 года № 419</w:t>
      </w:r>
    </w:p>
    <w:p>
      <w:pPr>
        <w:spacing w:after="240" w:before="200"/>
        <w:jc w:val="center"/>
      </w:pPr>
      <w:r>
        <w:rPr>
          <w:rFonts w:ascii="Arial" w:cs="Arial" w:eastAsia="Arial" w:hAnsi="Arial"/>
          <w:b/>
          <w:bCs/>
          <w:sz w:val="28"/>
          <w:szCs w:val="28"/>
        </w:rPr>
        <w:t xml:space="preserve">О внесении изменений в приказ Министерства строительства, архитектуры и жилищно-коммунального хозяйства Кыргызской Республики от 9 февраля 2026 года № 110-нпа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своевременного завершения подготовки к проведению Саммита Шанхайской организации сотрудничества в городе Бишкек, а также принимая во внимание обращение Министерства транспорта и коммуникации Кыргызской Республики за исх. № 04-4/2619 от 30 апреля 2026 года, Мэрии города Бишкек за исх. № 20-31/3180 от 30 апреля 2026 года, руководствуясь положением «О Министерстве строительства, архитектуры и жилищно-коммунального хозяйства Кыргызской Республики» (далее – Минстрой), утвержденным </w:t>
      </w:r>
      <w:hyperlink w:history="1" r:id="rIdvlq02pvcusn9d0suych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22 апреля 2025 года № 221, 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hcwy2jkkbkvel40zl-qag">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строительства, архитектуры и жилищно-коммунального хозяйства Кыргызской Республики от 9 февраля 2026 года № 110-нпа следующие изменения:</w:t>
      </w:r>
    </w:p>
    <w:p>
      <w:pPr>
        <w:spacing w:after="120"/>
        <w:jc w:val="both"/>
      </w:pPr>
      <w:r>
        <w:rPr>
          <w:rFonts w:ascii="Arial" w:cs="Arial" w:eastAsia="Arial" w:hAnsi="Arial"/>
          <w:sz w:val="24"/>
          <w:szCs w:val="24"/>
        </w:rPr>
        <w:t xml:space="preserve">Пункт 3-1 вышеуказанного приказа изложить в следующей редакции:</w:t>
      </w:r>
    </w:p>
    <w:p>
      <w:pPr>
        <w:spacing w:after="120"/>
        <w:jc w:val="both"/>
      </w:pPr>
      <w:r>
        <w:rPr>
          <w:rFonts w:ascii="Arial" w:cs="Arial" w:eastAsia="Arial" w:hAnsi="Arial"/>
          <w:sz w:val="24"/>
          <w:szCs w:val="24"/>
        </w:rPr>
        <w:t xml:space="preserve">«3-1. Методика расчета, утвержденная в пункте 1 настоящего приказа, не распространяется на строительство, реконструкцию и капитальный ремонт всех видов дорог на территории Кыргызской Республики, за исключением города Бишкек.</w:t>
      </w:r>
    </w:p>
    <w:p>
      <w:pPr>
        <w:spacing w:after="120"/>
        <w:jc w:val="both"/>
      </w:pPr>
      <w:r>
        <w:rPr>
          <w:rFonts w:ascii="Arial" w:cs="Arial" w:eastAsia="Arial" w:hAnsi="Arial"/>
          <w:sz w:val="24"/>
          <w:szCs w:val="24"/>
        </w:rPr>
        <w:t xml:space="preserve">При строительстве, реконструкции и капитальном ремонте всех видов дорог на территории Кыргызской Республики, за исключением города Бишкек, применяются суммарные расчеты индексов изменения сметной стоимости строительных работ на основе уровня инфляции (индекса потребительских цен) за период с 2023 по 2025 год.</w:t>
      </w:r>
    </w:p>
    <w:p>
      <w:pPr>
        <w:spacing w:after="120"/>
        <w:jc w:val="both"/>
      </w:pPr>
      <w:r>
        <w:rPr>
          <w:rFonts w:ascii="Arial" w:cs="Arial" w:eastAsia="Arial" w:hAnsi="Arial"/>
          <w:sz w:val="24"/>
          <w:szCs w:val="24"/>
        </w:rPr>
        <w:t xml:space="preserve">На строительство, реконструкцию и капитальный ремонт всех видов дорог на территории города Бишкек установить следующую стоимость на виды асфальтобетона, с учетом налогов:</w:t>
      </w:r>
    </w:p>
    <w:p>
      <w:pPr>
        <w:spacing w:after="120"/>
        <w:jc w:val="both"/>
      </w:pPr>
      <w:r>
        <w:rPr>
          <w:rFonts w:ascii="Arial" w:cs="Arial" w:eastAsia="Arial" w:hAnsi="Arial"/>
          <w:sz w:val="24"/>
          <w:szCs w:val="24"/>
        </w:rPr>
        <w:t xml:space="preserve">- асфальтобетонные смеси (обычные) — 7600 сом/т;</w:t>
      </w:r>
    </w:p>
    <w:p>
      <w:pPr>
        <w:spacing w:after="120"/>
        <w:jc w:val="both"/>
      </w:pPr>
      <w:r>
        <w:rPr>
          <w:rFonts w:ascii="Arial" w:cs="Arial" w:eastAsia="Arial" w:hAnsi="Arial"/>
          <w:sz w:val="24"/>
          <w:szCs w:val="24"/>
        </w:rPr>
        <w:t xml:space="preserve">- щебеночно-мастичный асфальтобетон (ЩМА) — 8800 сом/т.».</w:t>
      </w:r>
    </w:p>
    <w:p>
      <w:pPr>
        <w:spacing w:after="120"/>
        <w:jc w:val="both"/>
      </w:pPr>
      <w:r>
        <w:rPr>
          <w:rFonts w:ascii="Arial" w:cs="Arial" w:eastAsia="Arial" w:hAnsi="Arial"/>
          <w:sz w:val="24"/>
          <w:szCs w:val="24"/>
        </w:rPr>
        <w:t xml:space="preserve">2. Управлению лицензирования и сертификации:</w:t>
      </w:r>
    </w:p>
    <w:p>
      <w:pPr>
        <w:spacing w:after="120"/>
        <w:jc w:val="both"/>
      </w:pPr>
      <w:r>
        <w:rPr>
          <w:rFonts w:ascii="Arial" w:cs="Arial" w:eastAsia="Arial" w:hAnsi="Arial"/>
          <w:sz w:val="24"/>
          <w:szCs w:val="24"/>
        </w:rPr>
        <w:t xml:space="preserve">2) обеспечить официальное опубликование настоящего приказа в порядке, установленном </w:t>
      </w:r>
      <w:hyperlink w:history="1" r:id="rIdvbdgcbppbuhhysok9il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3)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w:t>
      </w:r>
    </w:p>
    <w:p>
      <w:pPr>
        <w:spacing w:after="120"/>
        <w:jc w:val="both"/>
      </w:pPr>
      <w:r>
        <w:rPr>
          <w:rFonts w:ascii="Arial" w:cs="Arial" w:eastAsia="Arial" w:hAnsi="Arial"/>
          <w:sz w:val="24"/>
          <w:szCs w:val="24"/>
        </w:rPr>
        <w:t xml:space="preserve">3.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4. Настоящий приказ вступает в силу с 30 апреля 2026 года, подлежит официальному опубликованию и действует до 31 декабря 2026 года.</w:t>
      </w:r>
    </w:p>
    <w:p>
      <w:pPr>
        <w:spacing w:after="120"/>
        <w:jc w:val="both"/>
      </w:pPr>
      <w:r>
        <w:rPr>
          <w:rFonts w:ascii="Arial" w:cs="Arial" w:eastAsia="Arial" w:hAnsi="Arial"/>
          <w:i/>
          <w:iCs/>
          <w:sz w:val="24"/>
          <w:szCs w:val="24"/>
        </w:rPr>
        <w:t xml:space="preserve">Опубликован на официальном сайте https://egov.kg/ru/ministry/construction/npa от 24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hnrqrhelnwjmejbxfrl">
      <w:r>
        <w:rPr>
          <w:rFonts w:ascii="Arial" w:cs="Arial" w:eastAsia="Arial" w:hAnsi="Arial"/>
          <w:color w:val="132D3F"/>
          <w:sz w:val="16"/>
          <w:szCs w:val="16"/>
          <w:u w:val="single"/>
        </w:rPr>
        <w:t xml:space="preserve">dalil.kg/document/230047706</w:t>
      </w:r>
    </w:hyperlink>
  </w:p>
  <w:p>
    <w:pPr>
      <w:spacing w:after="0" w:before="40"/>
      <w:jc w:val="center"/>
    </w:pPr>
    <w:hyperlink w:history="1" r:id="rIdgy3vdetmdanzmkxddbb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q02pvcusn9d0suycha6" Type="http://schemas.openxmlformats.org/officeDocument/2006/relationships/hyperlink" Target="https://dalil.kg/document/230026304" TargetMode="External"/><Relationship Id="rIdhcwy2jkkbkvel40zl-qag" Type="http://schemas.openxmlformats.org/officeDocument/2006/relationships/hyperlink" Target="https://dalil.kg/document/230040030" TargetMode="External"/><Relationship Id="rIdvbdgcbppbuhhysok9ilb5"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hnrqrhelnwjmejbxfrl" Type="http://schemas.openxmlformats.org/officeDocument/2006/relationships/hyperlink" Target="https://dalil.kg/document/230047706" TargetMode="External"/><Relationship Id="rIdgy3vdetmdanzmkxddbb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2026-09-25T09:12:53.861Z</dcterms:created>
  <dcterms:modified xsi:type="dcterms:W3CDTF">2026-09-25T09:12:53.861Z</dcterms:modified>
</cp:coreProperties>
</file>

<file path=docProps/custom.xml><?xml version="1.0" encoding="utf-8"?>
<Properties xmlns="http://schemas.openxmlformats.org/officeDocument/2006/custom-properties" xmlns:vt="http://schemas.openxmlformats.org/officeDocument/2006/docPropsVTypes"/>
</file>