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  2026 года № 429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«Об утверждении Положения об индустриальных парках» от 21 мая 2025 года № 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функционирования индустриальных парков, в соответствии с</w:t>
      </w:r>
      <w:r>
        <w:rPr>
          <w:rFonts w:ascii="Arial" w:cs="Arial" w:eastAsia="Arial" w:hAnsi="Arial"/>
          <w:sz w:val="24"/>
          <w:szCs w:val="24"/>
        </w:rPr>
        <w:t xml:space="preserve">о статьями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tubhymtgjgl3xpfdlp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индустриальных парках»</w:t>
      </w:r>
      <w:r>
        <w:rPr>
          <w:rFonts w:ascii="Arial" w:cs="Arial" w:eastAsia="Arial" w:hAnsi="Arial"/>
          <w:sz w:val="24"/>
          <w:szCs w:val="24"/>
        </w:rPr>
        <w:t xml:space="preserve"> от 21 мая 2025 года № 269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об индустриальных парках,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2 пункта 4 после слов «договор аренды» дополнить словами «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срочного (временного) пользования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2 пункта 5 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«2) 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ерритория индустриального парка формируется из одного или нескольких земельных участков и (или) объектов недвижимого имущества, находящихся в государственной, муниципальной либо частной собственности;»;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2 пункта 8 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2) управляющая компания индустриального парка не может осуществлять производственную деятельность на территории индустриального парка, кроме случаев осуществления производственной деятельности для обеспечения потребностей индустриального парка в тепло-, электро-, газоснабжении</w:t>
      </w:r>
      <w:r>
        <w:rPr>
          <w:rFonts w:ascii="Arial" w:cs="Arial" w:eastAsia="Arial" w:hAnsi="Arial"/>
          <w:sz w:val="24"/>
          <w:szCs w:val="24"/>
        </w:rPr>
        <w:t xml:space="preserve">, а также в иных энергоресурсах и технологических газах (кислород, азот, сжатый воздух и другие), в том числе с правом реализации излишков указанных ресурсов третьим лицам при условии первоочередного обеспечения потребностей индустриального парка.»;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1 пункта 11 после слов «договора аренды» дополнить словами «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срочного (временного) пользования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12 дополнить подпунктами 11</w:t>
      </w:r>
      <w:r>
        <w:rPr>
          <w:rFonts w:ascii="Arial" w:cs="Arial" w:eastAsia="Arial" w:hAnsi="Arial"/>
          <w:sz w:val="24"/>
          <w:szCs w:val="24"/>
        </w:rPr>
        <w:t xml:space="preserve">–15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1) создавать дочерние и зависимые общества, а также иные юридические лица, в том числе для реализации отдельных </w:t>
      </w:r>
      <w:r>
        <w:rPr>
          <w:rFonts w:ascii="Arial" w:cs="Arial" w:eastAsia="Arial" w:hAnsi="Arial"/>
          <w:sz w:val="24"/>
          <w:szCs w:val="24"/>
        </w:rPr>
        <w:t xml:space="preserve">промышленных, инвестиционных, технологических и иных проектов,</w:t>
      </w:r>
      <w:r>
        <w:rPr>
          <w:rFonts w:ascii="Arial" w:cs="Arial" w:eastAsia="Arial" w:hAnsi="Arial"/>
          <w:sz w:val="24"/>
          <w:szCs w:val="24"/>
        </w:rPr>
        <w:t xml:space="preserve"> направленных на развитие индустриального парка, улучшение условий деятельности резидентов, расширение производственных мощностей, коммерциализацию полученных научно-технических результатов и повышение эффективности функционирования индустриального парка, </w:t>
      </w:r>
      <w:r>
        <w:rPr>
          <w:rFonts w:ascii="Arial" w:cs="Arial" w:eastAsia="Arial" w:hAnsi="Arial"/>
          <w:sz w:val="24"/>
          <w:szCs w:val="24"/>
        </w:rPr>
        <w:t xml:space="preserve">в соответствии с Гражданским кодексом Кыргызской Республики и законодательством Кыргызской Республики в сфере регулирования юридических лиц и хозяйственных обществ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выступать учредителем, акционером либо участником иных юридических лиц, в том числе путем внесения вкладов (взносов) в уставный капитал таких юридических лиц, деятельность которых связана с целями и задачами индустриального парка, включая проекты с участием государственных, частных и/или международных инвесторов, как на территории индустриального парка, так и за его пределами, в пределах своей компетенции и при условии соответствия уставным целям управляющей компании, в том числе определенным для реализации инвестиционных, инфраструктурных, производственных и сервисных проектов, связанных с деятельностью индустриального парка, в соответствии с Гражданским кодексом Кыргызской Республики и законодательством Кыргызской Республики в сфере регулирования юридических лиц и хозяйственных обществ;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вносить принадлежащее управляющей компании на праве собственности имущество, включая здания, сооружения, объекты инженерной и транспортной инфраструктуры, имущественные и иные права, а также земельные участки в случаях, допускаемых законодательством Кыргызской Республики, в качестве вклада в уставный капитал юридических лиц, в которых управляющая компания является учредителем (участником, акционером), в соответствии с Гражданским кодексом Кыргызской Республики, земельным законодательством Кыргызской Республики и законодательством Кыргызской Республики в сфере регулирования юридических лиц и хозяйственных обществ;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предоставление земельных участков иностранным лицам допускается, если они являются резидентами индустриального парка и используют земельный участок исключительно для осуществления деятельности на территории индустриального парка, при этом земельные участки, находящиеся в государственной собственности, предоставляются таким лицам без проведения торгов путем прямого предоставления в порядке, предусмотренном статьей 28 Земельного кодекса Кыргызской Республики, с учетом ограничений и условий, установленных статьей 8 Земельного кодекса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15) использование земельных участков, находящихся в частной собственности, для целей индустриального парка допускается исключительно на основании добровольно заключенного гражданско-правового договора (аренды, безвозмездного пользования, сервитута, о совместной деятельности) либо иного предусмотренного законом соглашения с собственником земельного участка. Включение земельных участков в границы индустриального парка не влечет за собой прекращения права частной собственности на данные участки, за исключением случаев, прямо предусмотренных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2. Настоящее постановление вступает в силу по истечении семи дней со дня его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июня 2026 года № 45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jcyo-59ks9ztsaaw1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dalil.kg/document/230047720</w:t>
      </w:r>
    </w:hyperlink>
  </w:p>
  <w:p>
    <w:pPr>
      <w:spacing w:after="0" w:before="40"/>
      <w:jc w:val="center"/>
    </w:pPr>
    <w:hyperlink w:history="1" r:id="rIdvbdmltybxgrgt8zmv05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tubhymtgjgl3xpfdlpcj" Type="http://schemas.openxmlformats.org/officeDocument/2006/relationships/hyperlink" Target="https://dalil.kg/document/2300284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jcyo-59ks9ztsaaw1tu" Type="http://schemas.openxmlformats.org/officeDocument/2006/relationships/hyperlink" Target="https://dalil.kg/document/230047720" TargetMode="External"/><Relationship Id="rIdvbdmltybxgrgt8zmv05u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2026-09-25T10:24:16.323Z</dcterms:created>
  <dcterms:modified xsi:type="dcterms:W3CDTF">2026-09-25T10:24:16.323Z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