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219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Республики» от 10 августа 2013 года № 174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 по вопросам гражданства, в соответствии со статьями </w:t>
      </w:r>
      <w:hyperlink w:history="1" r:id="rIdhgso6nkqcjaaj_sb7gy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cuwp_lpw4z06empxy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6ijt2xbokslpzi82z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10 августа 2013 года № 174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9hfsunen4inogtgfv-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рассмотрения вопросов гражданства Кыргызской Республики, утвержденном вышеназванным </w:t>
      </w:r>
      <w:hyperlink w:history="1" r:id="rIdb5iilhxelbd2xo33ydw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слово «утраты» заменить словом «прекращения»;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единая информационная система нотариата (далее – ЕИСН) – государственная автоматизированная информационная система, предназначенная для комплексной автоматизации процессов сбора, обработки сведений о нотариальной деятельности и обеспечения всех видов информационного взаимодействия (обмена).»;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дополнить абзацем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«Все документы по вопросам гражданства оформляются в электронном и бумажном виде посредством АИС сотрудником территориального подразделения/загранучреждения.»;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Заявление о приеме в гражданство Кыргызской Республики и/или прекращении</w:t>
      </w:r>
      <w:r>
        <w:rPr>
          <w:rFonts w:ascii="Arial" w:cs="Arial" w:eastAsia="Arial" w:hAnsi="Arial"/>
          <w:sz w:val="24"/>
          <w:szCs w:val="24"/>
        </w:rPr>
        <w:t xml:space="preserve">гражданства Кыргызской Республики, подаваемое иностранным гражданином или лицом без гражданства, подлежит заверению электронной подписью заявителя, проставляемой посредством графического планшета в целях его идентификации в АИС.»;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изложить в следующей редакции;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«12. </w:t>
      </w:r>
      <w:r>
        <w:rPr>
          <w:rFonts w:ascii="Arial" w:cs="Arial" w:eastAsia="Arial" w:hAnsi="Arial"/>
          <w:sz w:val="24"/>
          <w:szCs w:val="24"/>
        </w:rPr>
        <w:t xml:space="preserve">Подача заявления о приеме в гражданство Кыргызской Республики осуществляется при наличии регистрации по месту пребывания на территории Кыргызской Республики и одного из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вида на жительство;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удостоверения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удостоверения беженца;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Мекен-карт.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 наличии регистрации по месту пребывания на территории Кыргызской Республики и вышеуказанных документов не применяются в отношении этнических кыргызов, переселяющихся на территорию Кыргызской Республики, а также лиц без гражданства, документированных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несовершеннолетних детей требование о наличии регистрации по месту пребывания на территории Кыргызской Республики применяется, при этом требование о наличии вышеуказанных документов, не применяется.»;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ребенок этнических кыргызов, оба родителя или единственный родитель которого является иностранным 
 гражданином,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 заявлению одного из родителей и при наличии письменного согласия другого родителя.»;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3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являющиеся гражданами приграничных с Кыргызской Республикой государств и приобретшие гражданство Кыргызской Республики, при повторном получении паспорта гражданина Кыргызской Республики по истечении одного года с момента первичного документирования обязаны представить официальный документ компетентного органа иностранного государства, подтверждающий выход из прежнего гражданства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дополнить подпунктом 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случае противоречия интересам национальной безопасности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 7 пункта 36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</w:t>
      </w:r>
      <w:r>
        <w:rPr>
          <w:rFonts w:ascii="Arial" w:cs="Arial" w:eastAsia="Arial" w:hAnsi="Arial"/>
          <w:sz w:val="24"/>
          <w:szCs w:val="24"/>
        </w:rPr>
        <w:t xml:space="preserve">свидетельство о рождении (либо выписка из записи акта 
 о рождении) детей либо приравненный к нему документ и нотариально заверенное согласие (при отсутствии данных в ЕИСН) второго родителя на выход из гражданства ребенка – в случае если гражданин Кыргызской Республики одновременно ходатайствует о выходе из гражданства Кыргызской Республики несовершеннолетних детей.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5, 6 пункта 37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письменное нотариально заверенное согласие детей </w:t>
      </w:r>
      <w:r>
        <w:rPr>
          <w:rFonts w:ascii="Arial" w:cs="Arial" w:eastAsia="Arial" w:hAnsi="Arial"/>
          <w:sz w:val="24"/>
          <w:szCs w:val="24"/>
        </w:rPr>
        <w:t xml:space="preserve">(при отсутствии данных в ЕИСН) </w:t>
      </w:r>
      <w:r>
        <w:rPr>
          <w:rFonts w:ascii="Arial" w:cs="Arial" w:eastAsia="Arial" w:hAnsi="Arial"/>
          <w:sz w:val="24"/>
          <w:szCs w:val="24"/>
        </w:rPr>
        <w:t xml:space="preserve">в возрасте от 14 до 18 лет на выход из гражданства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нотариальное согласие (при отсутствии данных в ЕИСН) родителей (единственного родителя) или законных представителей на выход из гражданства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«1) лиц, родившихся в Киргизской ССР и документированных паспортом образца 1974 года на территории Киргизской ССР или Кыргызской Республики, постоянно проживающих с момента рождения на территории Кыргызской Республики и не подавших заявления о принадлежности к гражданству другого государства;»;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 3 изложить в следующей редакции: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«3) детей (до 18 лет):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в случаях, предусмотренных пунктами 77–82 настоящего Положения, – при возникновении спора или по обращению заявителя;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в случаях, предусмотренных пунктами 83–87 настоящего Положения;»; 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седьмой пункта 64 изложить в следующей редакции: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паспорта родителей или единственного родителя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 наличии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».;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5 пункта 71 изложить в следующей редакции:</w:t>
      </w:r>
    </w:p>
    <w:p>
      <w:pPr>
        <w:spacing w:after="120"/>
        <w:ind w:firstLine="745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паспорта родителей или единственного родителя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 наличии;»;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78 слова «имеет гражданство» заменить словами «являлся на момент рождения гражданином»;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Ребенок, родившийся на территории Кыргызской Республики, родители или единственный родитель которого является иностранным гражданином – этническим кыргызом, признается гражданином Кыргызской Республики независимо от гражданства и места постоянного проживания родителей.»;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«101. Гражданство Кыргызской Республики утрачивается в соответствии с настоящим Положением при поступлении в уполномоченный орган в сфере регистрации населения информации от компетентного органа иностранного государства о приобретении гражданства этого государства, при наличии нотариально удостоверенного заявления об утрате гражданства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Гражданство Кыргызской Республики утрачивается, если гражданин Кыргызской Республики, не являющийся гражданином Кыргызской Республики по рождению, приобретший гражданство Кыргызской Республики в результате приема в гражданство Кыргызской Республики, осуществляет деятельность, представляющую угрозу национальной безопасности Кыргызской Республики, или состоит на действительной военной службе, службе в правоохранительных органах либо в органах специальных служб иностранного государства.»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xxsjyxenriw3cnrk0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dalil.kg/document/230047938</w:t>
      </w:r>
    </w:hyperlink>
  </w:p>
  <w:p>
    <w:pPr>
      <w:spacing w:after="0" w:before="40"/>
      <w:jc w:val="center"/>
    </w:pPr>
    <w:hyperlink w:history="1" r:id="rIdavpfxgxal9bwjpyfd7h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so6nkqcjaaj_sb7gy37" Type="http://schemas.openxmlformats.org/officeDocument/2006/relationships/hyperlink" Target="https://dalil.kg/document/112213" TargetMode="External"/><Relationship Id="rIdszcuwp_lpw4z06empxyu4" Type="http://schemas.openxmlformats.org/officeDocument/2006/relationships/hyperlink" Target="https://dalil.kg/document/112213" TargetMode="External"/><Relationship Id="rIdv6ijt2xbokslpzi82zptx" Type="http://schemas.openxmlformats.org/officeDocument/2006/relationships/hyperlink" Target="https://dalil.kg/document/94402" TargetMode="External"/><Relationship Id="rIdk9hfsunen4inogtgfv-da" Type="http://schemas.openxmlformats.org/officeDocument/2006/relationships/hyperlink" Target="https://dalil.kg/document/4798" TargetMode="External"/><Relationship Id="rIdb5iilhxelbd2xo33ydw7g" Type="http://schemas.openxmlformats.org/officeDocument/2006/relationships/hyperlink" Target="https://dalil.kg/document/944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xxsjyxenriw3cnrk0nj" Type="http://schemas.openxmlformats.org/officeDocument/2006/relationships/hyperlink" Target="https://dalil.kg/document/230047938" TargetMode="External"/><Relationship Id="rIdavpfxgxal9bwjpyfd7h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2026-09-24T12:45:38.420Z</dcterms:created>
  <dcterms:modified xsi:type="dcterms:W3CDTF">2026-09-24T12:45:38.420Z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