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644-VIII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в Закон Кыргызской Республики «О местной государственной администрации и органах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самоуправления»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местной государственной администрации и органах</w:t>
      </w:r>
      <w:r>
        <w:rPr>
          <w:rFonts w:ascii="Arial" w:cs="Arial" w:eastAsia="Arial" w:hAnsi="Arial"/>
          <w:sz w:val="24"/>
          <w:szCs w:val="24"/>
        </w:rPr>
        <w:t xml:space="preserve">местного</w:t>
      </w:r>
      <w:r>
        <w:rPr>
          <w:rFonts w:ascii="Arial" w:cs="Arial" w:eastAsia="Arial" w:hAnsi="Arial"/>
          <w:sz w:val="24"/>
          <w:szCs w:val="24"/>
        </w:rPr>
        <w:t xml:space="preserve">самоуправления»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инициированный</w:t>
      </w:r>
      <w:r>
        <w:rPr>
          <w:rFonts w:ascii="Arial" w:cs="Arial" w:eastAsia="Arial" w:hAnsi="Arial"/>
          <w:sz w:val="24"/>
          <w:szCs w:val="24"/>
        </w:rPr>
        <w:t xml:space="preserve">Председателем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 Республики</w:t>
      </w:r>
      <w:r>
        <w:rPr>
          <w:rFonts w:ascii="Arial" w:cs="Arial" w:eastAsia="Arial" w:hAnsi="Arial"/>
          <w:sz w:val="24"/>
          <w:szCs w:val="24"/>
        </w:rPr>
        <w:t xml:space="preserve">(исх. </w:t>
      </w:r>
      <w:r>
        <w:rPr>
          <w:rFonts w:ascii="Arial" w:cs="Arial" w:eastAsia="Arial" w:hAnsi="Arial"/>
          <w:sz w:val="24"/>
          <w:szCs w:val="24"/>
        </w:rPr>
        <w:t xml:space="preserve">№ 19-6185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мая 2026 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saxmpnjuoar1ud4d5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dalil.kg/document/230048100</w:t>
      </w:r>
    </w:hyperlink>
  </w:p>
  <w:p>
    <w:pPr>
      <w:spacing w:after="0" w:before="40"/>
      <w:jc w:val="center"/>
    </w:pPr>
    <w:hyperlink w:history="1" r:id="rIddfbf-1w-yq8uz_l8dvd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saxmpnjuoar1ud4d5-k" Type="http://schemas.openxmlformats.org/officeDocument/2006/relationships/hyperlink" Target="https://dalil.kg/document/230048100" TargetMode="External"/><Relationship Id="rIddfbf-1w-yq8uz_l8dvd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2026-09-24T10:10:09.323Z</dcterms:created>
  <dcterms:modified xsi:type="dcterms:W3CDTF">2026-09-24T10:10:09.323Z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