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2026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23 сентября 2025 года № 605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id3fdc-bq0zezbxh_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поручительства субъектам национальной экономики» от 23 сентября 2025 года № 605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пункт 21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«С</w:t>
      </w:r>
      <w:r>
        <w:rPr>
          <w:rFonts w:ascii="Arial" w:cs="Arial" w:eastAsia="Arial" w:hAnsi="Arial"/>
          <w:sz w:val="24"/>
          <w:szCs w:val="24"/>
        </w:rPr>
        <w:t xml:space="preserve">убъекту, независимо от его организационно-правовой формы и формы собственности, реализующему проект, включенный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значения, может быть предоставлена отсрочка по оплате комиссии, предусмотренной пунктом 20 настоящего Порядка, на срок не более 24 месяцев.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d3fdc-bq0zezbxh_nor" Type="http://schemas.openxmlformats.org/officeDocument/2006/relationships/hyperlink" Target="http://kodeks.duckdns.org/document/2300315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2026-09-22T23:44:39.376Z</dcterms:created>
  <dcterms:modified xsi:type="dcterms:W3CDTF">2026-09-22T23:44:39.376Z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