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2026 года № 2026-П-12/33-4-(БС)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e_ona_hkfcyjzpfvv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rxlgxd3c6zjxyjmn_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0kqaheq8egtfu03y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«Об утверждении </w:t>
      </w:r>
      <w:hyperlink w:history="1" r:id="rIduh74-5bvl4ucg87o7u-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 » </w:t>
      </w:r>
      <w:hyperlink w:history="1" r:id="rIduigordyia9ogboenn9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4 постановления Правления Национального банка Кыргызской Республики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в течение 3 (трех) рабочих дней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 </w:t>
      </w:r>
      <w:r>
        <w:rPr>
          <w:rFonts w:ascii="Arial" w:cs="Arial" w:eastAsia="Arial" w:hAnsi="Arial"/>
          <w:sz w:val="24"/>
          <w:szCs w:val="24"/>
        </w:rPr>
        <w:t xml:space="preserve">довести его до сведения коммерческих банков, ОЮЛ «Союз банков Кыргызстана», </w:t>
      </w:r>
      <w:r>
        <w:rPr>
          <w:rFonts w:ascii="Arial" w:cs="Arial" w:eastAsia="Arial" w:hAnsi="Arial"/>
          <w:sz w:val="24"/>
          <w:szCs w:val="24"/>
        </w:rPr>
        <w:t xml:space="preserve">ОАО «Финансовая компания кредитных союзов» и </w:t>
      </w:r>
      <w:r>
        <w:rPr>
          <w:rFonts w:ascii="Arial" w:cs="Arial" w:eastAsia="Arial" w:hAnsi="Arial"/>
          <w:sz w:val="24"/>
          <w:szCs w:val="24"/>
        </w:rPr>
        <w:t xml:space="preserve">гарантийных фондов.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«Секретариат Правления» в течение 3 (трех) рабочих дней со дня принятия настоящего постановления довести его до сведения управления методологии надзора, управления банковского надзора, отдела мониторинга и анализа финансовой стабильности, управления финансовой статистики и обзора, управления лицензирования, управления денежно-кредитной политики, отдела противодействия финансированию преступной деятельности и легализации (отмыванию) преступных доходов, управления цифровых финансовых технологий и юридического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Правления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2026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2026-П-12/33-4-(БС)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jsmjiczw-lemqomoad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bcjlc4yumtmrnjyylv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 от 21 июля 2004 года № 18/3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ab1kc6bbt65mnshaq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пункт 4.2. дополнить подпунктом 4.2.8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«4.2.8. Банк вправе классифицировать кредит в иностранной валюте как «удовлетворительный актив» в случае, если он соответствуют нормам, указанным в подпунктах 4.2.1 и 4.2.2 пункта 4.2 настоящего Положения, а также при одновременном соблюдении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предоставлен в иностранной валюте филиалом коммерческого банка, расположенным за пределами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предоставлен и обслуживается на территории страны пребывания филиала;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пребывания филиала имеет долгосрочный суверенный кредитный рейтинг не ниже уровня «BВВ»,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кредита соответствует валюте доходов заемщика (не менее 75 процентов доходов заемщика формируется в валюте кредита).»;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11.1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«11.1. Трансграничные кредиты и кредиты, которые обеспечены залогом, находящимся за пределами Кыргызской Республики, банк должен классифицировать как минимум как «активы под наблюдением», за исключением случая, предусмотренного подпунктом 4.2.8 пункта 4.2 настоящего Положения.».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определению стандартов достаточности (адекватности) капитала коммерческих банков Кыргызской Республики,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 2 пункта 21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нематериальные активы,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нематериальных активов, представляющих собой программные решения, направленные на противодействие мошенничеству (антифрод-системы) и соответствующие требованиям Национального банка, при предварительном уведомлении Национального банка с предоставлением подтверждающих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нематериальных активов, предназначенных для открытия и функционирования филиалов за рубежом, при этом к таким активам относятся исключительно программные решения, возникающие в результате приобретения или разработки идентифицируемых нематериальных активов, признанных в соответствии с Международными стандартами финансовой отчетности (далее – МСФО), при одновременном соблюдении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такие активы используются исключительно для обеспечения деятельности соответствующего филиала и не используются иными подразделениями банка, за исключением нематериальных активов, предназначенных для сбора, структурирования, обработки, хранения данных, включая данные филиала за рубежом, а также формирования консолидированной отчетности;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носят разовый характер и не включают расходы, связанные с технической поддержкой, обновлением и эксплуатацией, а также с обучением персонала;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подлежат амортизации в соответствии с МСФО, при этом срок амортизации не превышает 5 (пяти) лет;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данным активам отсутствуют признаки обесценения;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обеспечивает раздельный учет таких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предварительном уведомлении Национального банка с предоставлением подтверждающих документов.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указанных условий такие активы подлежат вычету в соответствии с настоящим пунктом.»;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пункте 25: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абзацамиследующего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кредиты юридическим лицам, имеющим кредитный рейтинг не ниже уровня «ВВВ»,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Service, и другими рейтинговыми агентствами, соответствующими критериям, установленным пунктом 3 Положения «Об экономических нормативах и требованиях, обязательных для выполнения коммерческими банками Кыргызской Республики», при условии, что суверенный кредитный рейтинг страны, в которой осуществляет деятельность данное юридическое лицо, не ниже вышеуказанного рейтинга и валюта кредита соответствует валюте доходов заемщика.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данные кредиты просрочены свыше 30 дней и/или реструктуризированы, то они указываются в категории 5 со степенью кредитного риска 100%.»;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«к) кредиты, предоставленные в иностранной валюте филиалом коммерческого банка, расположенным за пределами Кыргызской Республики, за исключением кредитов, указанных в абзаце первом подпункта «д» подпункта 4 пункта 25, при одновременном соблюдении следующих условий: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предоставлен и обслуживается на территории страны пребывания филиала;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пребывания филиала имеет долгосрочный суверенный кредитный рейтинг не ниже уровня «BВВ»,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кредита соответствует валюте доходов заемщика (не менее 75 процентов доходов заемщика формируется в валюте кредита).»;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6 слова «категории 4» заменить словами «категориях 4 и 5».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k9kxv3ij_bfzee2pb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dalil.kg/document/230048233</w:t>
      </w:r>
    </w:hyperlink>
  </w:p>
  <w:p>
    <w:pPr>
      <w:spacing w:after="0" w:before="40"/>
      <w:jc w:val="center"/>
    </w:pPr>
    <w:hyperlink w:history="1" r:id="rIdb-fms7ei3fywnxqoseb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_ona_hkfcyjzpfvvdgp" Type="http://schemas.openxmlformats.org/officeDocument/2006/relationships/hyperlink" Target="https://dalil.kg/document/112424#st_5" TargetMode="External"/><Relationship Id="rIdthrxlgxd3c6zjxyjmn_zx" Type="http://schemas.openxmlformats.org/officeDocument/2006/relationships/hyperlink" Target="https://dalil.kg/document/112424#st_9" TargetMode="External"/><Relationship Id="rIdbv0kqaheq8egtfu03yezx" Type="http://schemas.openxmlformats.org/officeDocument/2006/relationships/hyperlink" Target="https://dalil.kg/document/112424#st_64" TargetMode="External"/><Relationship Id="rIduh74-5bvl4ucg87o7u-r1" Type="http://schemas.openxmlformats.org/officeDocument/2006/relationships/hyperlink" Target="https://dalil.kg/document/31372" TargetMode="External"/><Relationship Id="rIduigordyia9ogboenn9ynw" Type="http://schemas.openxmlformats.org/officeDocument/2006/relationships/hyperlink" Target="https://dalil.kg/document/31371" TargetMode="External"/><Relationship Id="rIdjsmjiczw-lemqomoadt4t" Type="http://schemas.openxmlformats.org/officeDocument/2006/relationships/hyperlink" Target="https://dalil.kg/document/31371" TargetMode="External"/><Relationship Id="rIdbcjlc4yumtmrnjyylvhcp" Type="http://schemas.openxmlformats.org/officeDocument/2006/relationships/hyperlink" Target="https://dalil.kg/document/31372" TargetMode="External"/><Relationship Id="rId4ab1kc6bbt65mnshaq1cr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k9kxv3ij_bfzee2pbkn" Type="http://schemas.openxmlformats.org/officeDocument/2006/relationships/hyperlink" Target="https://dalil.kg/document/230048233" TargetMode="External"/><Relationship Id="rIdb-fms7ei3fywnxqoseb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2026-09-25T20:21:10.669Z</dcterms:created>
  <dcterms:modified xsi:type="dcterms:W3CDTF">2026-09-25T20:21:10.669Z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