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июня 2026 года № 671-VIII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принятии во втором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акона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Трудовой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изменения в Трудовой кодекс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депутатами Жогорку Кенеша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 
 </w:t>
      </w:r>
      <w:r>
        <w:rPr>
          <w:rFonts w:ascii="Arial" w:cs="Arial" w:eastAsia="Arial" w:hAnsi="Arial"/>
          <w:sz w:val="24"/>
          <w:szCs w:val="24"/>
        </w:rPr>
        <w:t xml:space="preserve">Г.О. Акимбаевой, Г.М. Баатыровой, Р.Р. Рысбаевым, Т.А. Масабировым.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xjo-uou-pxnl1_231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dalil.kg/document/230048267</w:t>
      </w:r>
    </w:hyperlink>
  </w:p>
  <w:p>
    <w:pPr>
      <w:spacing w:after="0" w:before="40"/>
      <w:jc w:val="center"/>
    </w:pPr>
    <w:hyperlink w:history="1" r:id="rIdmsnuhgb_ipj8xr0asr2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xjo-uou-pxnl1_2312d" Type="http://schemas.openxmlformats.org/officeDocument/2006/relationships/hyperlink" Target="https://dalil.kg/document/230048267" TargetMode="External"/><Relationship Id="rIdmsnuhgb_ipj8xr0asr2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2026-09-25T08:10:06.126Z</dcterms:created>
  <dcterms:modified xsi:type="dcterms:W3CDTF">2026-09-25T08:10:06.126Z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