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2026 года № 484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в сфере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временного регулирования ввоза и вывоза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нефти и нефтепродуктов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функционирования внутреннего рынка нефти и нефтепродуктов Кыргызской Республики, защиты энергетической безопасности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недопущения возникновения дефицита нефтепродуктов, бесперебойного снабжения внутренних потребностей,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от 29 мая 2014 года, статьями </w:t>
      </w:r>
      <w:hyperlink w:history="1" r:id="rIdj0gunow6cqchuemzn5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zfyknf8w7whomqw7gp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Внести в </w:t>
      </w:r>
      <w:hyperlink w:history="1" r:id="rIdir8i1fc44b5qjvatohuie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Правительства Кыргызской Республики «О введении временного запрета на ввоз на территорию Кыргызской Республики автотранспортом некоторых видов нефти и нефтепродуктов» от 22 октября 2019 года № 566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Приостановить действие пунктов 1 и 2 настоящего постановления на период с 25 мая 2026 года по 1 апреля 2027 года включительно.».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1hsgdhbb3s2hfhvoer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союза» от 1 марта 2021 года № 66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введении временного запрета на вывоз нефти и нефтепродуктов из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преамбуле цифры «46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цифрами «29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1, 2, 3, 4,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Установить временный запрет на вывоз из Кыргызской Республики до насыщения внутренного рынка или формирования общих рынков нефти и нефтепродуктов Евразийского экономического союза </w:t>
      </w:r>
      <w:r>
        <w:rPr>
          <w:rFonts w:ascii="Arial" w:cs="Arial" w:eastAsia="Arial" w:hAnsi="Arial"/>
          <w:sz w:val="24"/>
          <w:szCs w:val="24"/>
        </w:rPr>
        <w:t xml:space="preserve">автомобильным и железнодорожным транспортом нефти (классифицируемой кодом 2709 ТН ВЭД ЕАЭС) и нефтепродуктов (классифицируемых кодом 2710 ТН ВЭД ЕАЭС</w:t>
      </w:r>
      <w:r>
        <w:rPr>
          <w:rFonts w:ascii="Arial" w:cs="Arial" w:eastAsia="Arial" w:hAnsi="Arial"/>
          <w:sz w:val="24"/>
          <w:szCs w:val="24"/>
        </w:rPr>
        <w:t xml:space="preserve">),</w:t>
      </w:r>
      <w:r>
        <w:rPr>
          <w:rFonts w:ascii="Arial" w:cs="Arial" w:eastAsia="Arial" w:hAnsi="Arial"/>
          <w:sz w:val="24"/>
          <w:szCs w:val="24"/>
        </w:rPr>
        <w:t xml:space="preserve"> за исключением</w:t>
      </w:r>
      <w:r>
        <w:rPr>
          <w:rFonts w:ascii="Arial" w:cs="Arial" w:eastAsia="Arial" w:hAnsi="Arial"/>
          <w:sz w:val="24"/>
          <w:szCs w:val="24"/>
        </w:rPr>
        <w:t xml:space="preserve"> нафты, </w:t>
      </w:r>
      <w:r>
        <w:rPr>
          <w:rFonts w:ascii="Arial" w:cs="Arial" w:eastAsia="Arial" w:hAnsi="Arial"/>
          <w:sz w:val="24"/>
          <w:szCs w:val="24"/>
        </w:rPr>
        <w:t xml:space="preserve">мазута</w:t>
      </w:r>
      <w:r>
        <w:rPr>
          <w:rFonts w:ascii="Arial" w:cs="Arial" w:eastAsia="Arial" w:hAnsi="Arial"/>
          <w:sz w:val="24"/>
          <w:szCs w:val="24"/>
        </w:rPr>
        <w:t xml:space="preserve"> и печного топлива </w:t>
      </w:r>
      <w:r>
        <w:rPr>
          <w:rFonts w:ascii="Arial" w:cs="Arial" w:eastAsia="Arial" w:hAnsi="Arial"/>
          <w:sz w:val="24"/>
          <w:szCs w:val="24"/>
        </w:rPr>
        <w:t xml:space="preserve">(классифицируемых кодом 2710 ТН ВЭД ЕАЭС</w:t>
      </w:r>
      <w:r>
        <w:rPr>
          <w:rFonts w:ascii="Arial" w:cs="Arial" w:eastAsia="Arial" w:hAnsi="Arial"/>
          <w:sz w:val="24"/>
          <w:szCs w:val="24"/>
        </w:rPr>
        <w:t xml:space="preserve">), </w:t>
      </w:r>
      <w:r>
        <w:rPr>
          <w:rFonts w:ascii="Arial" w:cs="Arial" w:eastAsia="Arial" w:hAnsi="Arial"/>
          <w:sz w:val="24"/>
          <w:szCs w:val="24"/>
        </w:rPr>
        <w:t xml:space="preserve">вывозимых по решению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помещаем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 под </w:t>
      </w:r>
      <w:r>
        <w:rPr>
          <w:rFonts w:ascii="Arial" w:cs="Arial" w:eastAsia="Arial" w:hAnsi="Arial"/>
          <w:sz w:val="24"/>
          <w:szCs w:val="24"/>
        </w:rPr>
        <w:t xml:space="preserve">таможенную процедуру</w:t>
      </w:r>
      <w:r>
        <w:rPr>
          <w:rFonts w:ascii="Arial" w:cs="Arial" w:eastAsia="Arial" w:hAnsi="Arial"/>
          <w:sz w:val="24"/>
          <w:szCs w:val="24"/>
        </w:rPr>
        <w:t xml:space="preserve"> переработки вне таможенной территории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 обязательным последующим</w:t>
      </w:r>
      <w:r>
        <w:rPr>
          <w:rFonts w:ascii="Arial" w:cs="Arial" w:eastAsia="Arial" w:hAnsi="Arial"/>
          <w:sz w:val="24"/>
          <w:szCs w:val="24"/>
        </w:rPr>
        <w:t xml:space="preserve"> обратным</w:t>
      </w:r>
      <w:r>
        <w:rPr>
          <w:rFonts w:ascii="Arial" w:cs="Arial" w:eastAsia="Arial" w:hAnsi="Arial"/>
          <w:sz w:val="24"/>
          <w:szCs w:val="24"/>
        </w:rPr>
        <w:t xml:space="preserve"> ввозом на территорию Кыргызской Республики продуктов</w:t>
      </w:r>
      <w:r>
        <w:rPr>
          <w:rFonts w:ascii="Arial" w:cs="Arial" w:eastAsia="Arial" w:hAnsi="Arial"/>
          <w:sz w:val="24"/>
          <w:szCs w:val="24"/>
        </w:rPr>
        <w:t xml:space="preserve"> их</w:t>
      </w:r>
      <w:r>
        <w:rPr>
          <w:rFonts w:ascii="Arial" w:cs="Arial" w:eastAsia="Arial" w:hAnsi="Arial"/>
          <w:sz w:val="24"/>
          <w:szCs w:val="24"/>
        </w:rPr>
        <w:t xml:space="preserve"> переработки.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2. </w:t>
      </w:r>
      <w:r>
        <w:rPr>
          <w:rFonts w:ascii="Arial" w:cs="Arial" w:eastAsia="Arial" w:hAnsi="Arial"/>
          <w:sz w:val="24"/>
          <w:szCs w:val="24"/>
        </w:rPr>
        <w:t xml:space="preserve">Требования, предусмотренные пунктом 1 настоящего постановления, не распространяются на нефтепродукты, вывозимые с территории Кыргызской Республики, находящиеся в штатных топливных баках </w:t>
      </w:r>
      <w:r>
        <w:rPr>
          <w:rFonts w:ascii="Arial" w:cs="Arial" w:eastAsia="Arial" w:hAnsi="Arial"/>
          <w:sz w:val="24"/>
          <w:szCs w:val="24"/>
        </w:rPr>
        <w:t xml:space="preserve">транспортных</w:t>
      </w:r>
      <w:r>
        <w:rPr>
          <w:rFonts w:ascii="Arial" w:cs="Arial" w:eastAsia="Arial" w:hAnsi="Arial"/>
          <w:sz w:val="24"/>
          <w:szCs w:val="24"/>
        </w:rPr>
        <w:t xml:space="preserve"> средств, установленных в соответствии с требованиями Технического регламента Таможенного союза «О безопасности колесных транспортных средств» (ТР ТС 018/2011)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пунктах 1,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в установленном порядке уведомить Исполнительный комитет Содружества Независимых Государств о введении временного запрета, указанного в пунктах 1,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Кабинете Министров Кыргызской Республики и Государственной пограничной службе Кыргызской Республики принять меры, направленные на пресечение незаконного вывоза товаров, указанных в пунктах 1, 2 настоящего постановления.».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июля 2026 года № 53 (3813)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0gunow6cqchuemzn5ply" Type="http://schemas.openxmlformats.org/officeDocument/2006/relationships/hyperlink" Target="http://kodeks.duckdns.org/document/112301#st_13" TargetMode="External"/><Relationship Id="rId8zfyknf8w7whomqw7gpcr" Type="http://schemas.openxmlformats.org/officeDocument/2006/relationships/hyperlink" Target="http://kodeks.duckdns.org/document/112301#st_17" TargetMode="External"/><Relationship Id="rIdir8i1fc44b5qjvatohuie" Type="http://schemas.openxmlformats.org/officeDocument/2006/relationships/hyperlink" Target="http://kodeks.duckdns.org/document/157207" TargetMode="External"/><Relationship Id="rIdl1hsgdhbb3s2hfhvoer_r" Type="http://schemas.openxmlformats.org/officeDocument/2006/relationships/hyperlink" Target="http://kodeks.duckdns.org/document/15808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2026-09-22T23:44:41.687Z</dcterms:created>
  <dcterms:modified xsi:type="dcterms:W3CDTF">2026-09-22T23:44:41.687Z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