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охраны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kmhsmjwt_asevcnh-k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122–133)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пограничные органы;»;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органы государственной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«пунктах 3–5, 7–9 и 10» заменить словами «пунктах 3–5, 7–10 и 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8ssc-22b4ds-zmkji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после слов «предупреждения и ликвидации чрезвычайных ситуаций,» дополнить словами «государственной охраны,»;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«сотрудников органа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после слова «обороны» дополнить словами «, охраны государственной границы, государственной охраны»;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после слова «обороны» дополнить словами «, охраны государственной границы, государственной охраны»;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в сфере охраны государственной границы не рассматривает кандидатов, уволенных с государственной и военной службы по служебному несоответствию или дискредитации, независимо от срока увольнения.».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zbrhofc1pl6nrrhiab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(Ведомости Жогорку Кенеша Кыргызской Республики, 2009 г., № 7, ст. 752)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Вооруженные Силы состоят из органов военного управления, объединений, соединений, частей, подразделений, учреждений, родов войск, специальных войск, специальных формирований и тыла уполномоченных государственных органов, ведающих вопросами обороны и в сфере охраны государственной границы.».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b14ewrxts16he_ldd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 (Ведомости Жогорку Кенеша Кыргызской Республики, 2015 г., № 5, ст. 488)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назначает и освобождает от должности руководителя уполномоченного государственного органа в сфере охраны Государственной границы и его заместителей;»;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слова «систему органов национальной безопасности» заменить словами «состав Вооруженных Сил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слово «въезд» заменить словом «выезд».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2hog6goskuduu2ca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контрразведывательной деятельности» (газета «Эркин-Тоо» от 8 июля 2022 года № 60–61)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органу государственной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Орган государственной охраны вправе применять контрразведывательные мероприятия, указанные в пунктах 1–3, 5, 7–9, 12–15, 18, 20, 22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ygpxdl-lwcgft-wxo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(газета «Эркин-Тоо» от 8 июля 2022 года № 60–61)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обеспечение государственных органов и иных организаций, а также учреждений Кыргызской Республики, находящихся за пределами Кыргызской Республики, специальными видами связи (шифрованной, засекреченной, правительственной);»;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обеспечение исполнения требований криптографической и инженерно-технической безопасности при организации специальными видами связи, осуществление государственного контроля за этой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«, а также подведомственные подразделения»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3 и 6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обеспечении криптографическими и инженерно-техническими методами безопасности объектов информационной инфраструктуры, а также при организации и эксплуатации систем шифрованной, засекреченной, правительственной связи, обеспечивающих безопасность передаваемой информации, составляющей государственные секреты, в Кыргызской Республике и ее учреждениях, находящихся за пределами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18 и 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организовывать и предоставлять специальные виды связи (шифрованной, засекреченной, правительственной) в Кыргызской Республике и учреждениях Кыргызской Республики, находящихся за ее пределами, а также обеспечивать их безопасность; выполнять функции центрального органа шифровальной службы, засекреченной правительственной связи; участвовать в разработке, создании, усовершенствовании средств защиты информации, в том числе средств криптографической защиты информации (шифровальных средств) и национальных криптографических алгоритмов, в интересах обеспечения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после слов «а также разработке,» дополнить словом «сертификации,»;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слова «шифровальных средств» заменить словами «средств защиты информации, в том числе средств криптографической защиты информации (шифровальных средств)»;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использовать специальные методы и средства при осуществлении разведывательной, контрразведывательной деятельности, а также деятельности по борьбе с терроризмом;»;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«информационно-телекоммуникационных систем» заменить словами «объектов информационной инфраструктуры»;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запрашивать в установленном порядке от министерств, государственных комитетов и административных ведомств, других государственных органов, органов местного самоуправления, а также расположенных на территории Кыргызской Республики предприятий, учреждений, организаций и иных юридических лиц независимо от форм собственности, воинских формирований и общественных объединений, а также лиц, занятых индивидуальной и иной трудовой деятельностью и другими видами предпринимательства, информацию, необходимую для выполнения задач по обеспечению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слова «использования информационных систем» заменить словами «использования объектов информационной инфраструктуры»;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 части 1 </w:t>
      </w:r>
      <w:r>
        <w:rPr>
          <w:rFonts w:ascii="Arial" w:cs="Arial" w:eastAsia="Arial" w:hAnsi="Arial"/>
          <w:sz w:val="24"/>
          <w:szCs w:val="24"/>
        </w:rPr>
        <w:t xml:space="preserve">статьи 42</w:t>
      </w:r>
      <w:r>
        <w:rPr>
          <w:rFonts w:ascii="Arial" w:cs="Arial" w:eastAsia="Arial" w:hAnsi="Arial"/>
          <w:sz w:val="24"/>
          <w:szCs w:val="24"/>
        </w:rPr>
        <w:t xml:space="preserve"> слова «охраняемые объекты,»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au3xmbsrk-unoddld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охране» (газета «Эркин-Тоо» от 27 января 2023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– специальный государственный орган, являющийся воинским формированием в системе обеспечения национальной безопасности Кыргызской Республики и осуществляющий совокупность мер в соответствии с законодательством Кыргызской Республики по обеспечению безопасности объектов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структура, штатная численность органа государственной охраны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комплектуется военнослужащими и гражданскими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Кадры органа государственной охраны составляют офицерский состав, прапорщики и гражданский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службу и работу в орган государственной охраны принимаются граждане Кыргызской Республики на добровольной основе, способные по своим личным, моральным, профессиональным, психологическим качествам, образованию и состоянию здоровья выполнять обязанности, возложенные на орган государственной охраны, а также владеющие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Квалификационные требования к уровню образования, стажу, профессиональным знаниям и навыкам и иные условия приема на военную службу, необходимые для исполнения должностных обязанностей сотрудника,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органах национальной безопасности Кыргызской Республики».»;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контролировать, ограничивать или запрещать государственным органам или предприятиям независимо от форм собственности проведение ремонтно-строительных и других работ на объектах, улицах, дорогах и участках местности, если они представляют угрозу безопасности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для решения вопросов, касающихся обеспечения безопасности охраняемых лиц и объектов, в государственные органы, а также на предприятия, в учреждения и организации независимо от форм собственности по согласованию с их руководителями для замещения штатных должностей могут быть откомандированы сотрудники органа государственной охраны с оставлением их на военной службе в порядке, определяемом Кабинетом Министров Кыргызской Республики. Замещение прикомандированным сотрудником административной государственной должности государственного органа, в который он прикомандирован, осуществляется вне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прикомандирования в государственные органы, а также на предприятия, в учреждения и организации за сотрудниками и членами их семей сохраняются права, гарантии, льготы, компенсации, пенсионное обеспечение и социальная защита,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осуществлять профилактику преступных и иных правонарушений в отношении охраняемых лиц и объектов, применять в соответствии с законодательством меры профилактического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привлекать граждан Кыргызской Республики в качестве внештатных сотрудников. Полномочия и статус внештатного сотрудника определяются руководителем уполномоченного органа в сфере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16 слово «использовать» заменить словами «изготавливать и использовать»;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слова «руководителем уполномоченного государственного органа в сфере обеспечения национальной безопасности» заменить словом «Президентом».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xz74yzllpeunzyidf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оперативно-розыскной деятельности» (газета «Эркин-Тоо» от 1 июля 2025 года № 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уполномоченного государственного органа в сфере государственной охраны.».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hsmjwt_asevcnh-kq-i" Type="http://schemas.openxmlformats.org/officeDocument/2006/relationships/hyperlink" Target="http://kodeks.duckdns.org/document/112308" TargetMode="External"/><Relationship Id="rIdqf8ssc-22b4ds-zmkjix5" Type="http://schemas.openxmlformats.org/officeDocument/2006/relationships/hyperlink" Target="http://kodeks.duckdns.org/document/202536" TargetMode="External"/><Relationship Id="rIdnzbrhofc1pl6nrrhiabyg" Type="http://schemas.openxmlformats.org/officeDocument/2006/relationships/hyperlink" Target="http://kodeks.duckdns.org/document/202668" TargetMode="External"/><Relationship Id="rId9b14ewrxts16he_lddg_f" Type="http://schemas.openxmlformats.org/officeDocument/2006/relationships/hyperlink" Target="http://kodeks.duckdns.org/document/111141" TargetMode="External"/><Relationship Id="rIdtw2hog6goskuduu2cadif" Type="http://schemas.openxmlformats.org/officeDocument/2006/relationships/hyperlink" Target="http://kodeks.duckdns.org/document/112390" TargetMode="External"/><Relationship Id="rIdtkygpxdl-lwcgft-wxo3b" Type="http://schemas.openxmlformats.org/officeDocument/2006/relationships/hyperlink" Target="http://kodeks.duckdns.org/document/112389" TargetMode="External"/><Relationship Id="rIdhau3xmbsrk-unoddlduxz" Type="http://schemas.openxmlformats.org/officeDocument/2006/relationships/hyperlink" Target="http://kodeks.duckdns.org/document/112464" TargetMode="External"/><Relationship Id="rIdqxz74yzllpeunzyidf4xj" Type="http://schemas.openxmlformats.org/officeDocument/2006/relationships/hyperlink" Target="http://kodeks.duckdns.org/document/23002933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2026-09-22T23:44:44.440Z</dcterms:created>
  <dcterms:modified xsi:type="dcterms:W3CDTF">2026-09-22T23:44:44.441Z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