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июля 2026 года № 490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w:t>
      </w:r>
      <w:r>
        <w:rPr>
          <w:rFonts w:ascii="Arial" w:cs="Arial" w:eastAsia="Arial" w:hAnsi="Arial"/>
          <w:b/>
          <w:bCs/>
          <w:sz w:val="28"/>
          <w:szCs w:val="28"/>
        </w:rPr>
        <w:t xml:space="preserve">О Регламенте отбора национальных инвестиционных проектов и проектов государственного значения» </w:t>
      </w:r>
      <w:r>
        <w:rPr>
          <w:rFonts w:ascii="Arial" w:cs="Arial" w:eastAsia="Arial" w:hAnsi="Arial"/>
          <w:b/>
          <w:bCs/>
          <w:sz w:val="28"/>
          <w:szCs w:val="28"/>
        </w:rPr>
        <w:t xml:space="preserve">от 18 февраля 2026 года № 119</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w:t>
      </w:r>
      <w:r>
        <w:rPr>
          <w:rFonts w:ascii="Arial" w:cs="Arial" w:eastAsia="Arial" w:hAnsi="Arial"/>
          <w:sz w:val="24"/>
          <w:szCs w:val="24"/>
        </w:rPr>
        <w:t xml:space="preserve">обеспечения государственной поддержки проектов, связанных с подготовкой и проведением международных спортивных, культурных и иных общественно значимых мероприятий государственного значения, исполнения </w:t>
      </w:r>
      <w:hyperlink w:history="1" r:id="rIdryz082r-ex_sblopq9ms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национальных проектах, реализация которых имеет стратегически важное значение для страны» от 23 марта 2023 года № 63, в соответствии со статьями </w:t>
      </w:r>
      <w:hyperlink w:history="1" r:id="rIdc3aibnmrwoejfyp5pf43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vhdvyftiri1gfdgpafd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w:t>
      </w:r>
      <w:r>
        <w:rPr>
          <w:rFonts w:ascii="Arial" w:cs="Arial" w:eastAsia="Arial" w:hAnsi="Arial"/>
          <w:sz w:val="24"/>
          <w:szCs w:val="24"/>
        </w:rPr>
        <w:t xml:space="preserve">Кыргызской Республики </w:t>
      </w:r>
      <w:r>
        <w:rPr>
          <w:rFonts w:ascii="Arial" w:cs="Arial" w:eastAsia="Arial" w:hAnsi="Arial"/>
          <w:sz w:val="24"/>
          <w:szCs w:val="24"/>
        </w:rPr>
        <w:t xml:space="preserve">постановляет: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sgbnxe7y-4blr_ytunl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gpdiug637klp7kj1d7b8i">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отбора национальных инвестиционных проектов и проектов государственного значения» от 18 февраля 2026 года № 119 следующие изменения:</w:t>
      </w:r>
    </w:p>
    <w:p>
      <w:pPr>
        <w:spacing w:after="120"/>
        <w:ind w:firstLine="567"/>
        <w:jc w:val="both"/>
      </w:pPr>
      <w:r>
        <w:rPr>
          <w:rFonts w:ascii="Arial" w:cs="Arial" w:eastAsia="Arial" w:hAnsi="Arial"/>
          <w:sz w:val="24"/>
          <w:szCs w:val="24"/>
        </w:rPr>
        <w:t xml:space="preserve">в </w:t>
      </w:r>
      <w:hyperlink w:history="1" r:id="rIdxyy-vziiu6yrtzaw5k25w">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отбора национальных инвестиционных проектов и проектов государственного значения</w:t>
      </w:r>
      <w:r>
        <w:rPr>
          <w:rFonts w:ascii="Arial" w:cs="Arial" w:eastAsia="Arial" w:hAnsi="Arial"/>
          <w:sz w:val="24"/>
          <w:szCs w:val="24"/>
        </w:rPr>
        <w:t xml:space="preserve">, утвержденном вышеуказанным </w:t>
      </w:r>
      <w:hyperlink w:history="1" r:id="rIduxt4oox_vmico-cuxmf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бзац девятый </w:t>
      </w:r>
      <w:r>
        <w:rPr>
          <w:rFonts w:ascii="Arial" w:cs="Arial" w:eastAsia="Arial" w:hAnsi="Arial"/>
          <w:sz w:val="24"/>
          <w:szCs w:val="24"/>
        </w:rPr>
        <w:t xml:space="preserve">пункта 3 изложить в следующей редакции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проекты государственного значения – проекты, направленные на создание и (или) развитие стратегических инфраструктурных объектов в сфере государственного управления, экономики, туризма и социальной сферы, а также проекты, </w:t>
      </w:r>
      <w:r>
        <w:rPr>
          <w:rFonts w:ascii="Arial" w:cs="Arial" w:eastAsia="Arial" w:hAnsi="Arial"/>
          <w:sz w:val="24"/>
          <w:szCs w:val="24"/>
        </w:rPr>
        <w:t xml:space="preserve">реализуемые в соответствии с решениями Президента Кыргызской Республики и (или) Кабинета Министров Кыргызской Республики</w:t>
      </w:r>
      <w:r>
        <w:rPr>
          <w:rFonts w:ascii="Arial" w:cs="Arial" w:eastAsia="Arial" w:hAnsi="Arial"/>
          <w:sz w:val="24"/>
          <w:szCs w:val="24"/>
        </w:rPr>
        <w:t xml:space="preserve">, связанные с подготовкой и проведением международных спортивных, культурных, туристических и иных общественно значимых мероприятий, финансируемые полностью или частично за счет средств государственного бюджета, привлеченных средств и (или) с использованием государственных активов в качестве вклада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подпункты 1, 2 пункта 15 изложить в следующей редакции:</w:t>
      </w:r>
    </w:p>
    <w:p>
      <w:pPr>
        <w:spacing w:after="120"/>
        <w:ind w:firstLine="567"/>
        <w:jc w:val="both"/>
      </w:pPr>
      <w:r>
        <w:rPr>
          <w:rFonts w:ascii="Arial" w:cs="Arial" w:eastAsia="Arial" w:hAnsi="Arial"/>
          <w:sz w:val="24"/>
          <w:szCs w:val="24"/>
        </w:rPr>
        <w:t xml:space="preserve">«1) статус проекта;</w:t>
      </w:r>
    </w:p>
    <w:p>
      <w:pPr>
        <w:spacing w:after="120"/>
        <w:ind w:firstLine="567"/>
        <w:jc w:val="both"/>
      </w:pPr>
      <w:r>
        <w:rPr>
          <w:rFonts w:ascii="Arial" w:cs="Arial" w:eastAsia="Arial" w:hAnsi="Arial"/>
          <w:sz w:val="24"/>
          <w:szCs w:val="24"/>
        </w:rPr>
        <w:t xml:space="preserve">2) виды государственных преференций, в том числе ставки налогов и (или) освобождения по видам налогов, установленных Налоговым </w:t>
      </w:r>
      <w:r>
        <w:rPr>
          <w:rFonts w:ascii="Arial" w:cs="Arial" w:eastAsia="Arial" w:hAnsi="Arial"/>
          <w:sz w:val="24"/>
          <w:szCs w:val="24"/>
        </w:rPr>
        <w:t xml:space="preserve">кодексом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а также сроки предоставления </w:t>
      </w:r>
      <w:r>
        <w:rPr>
          <w:rFonts w:ascii="Arial" w:cs="Arial" w:eastAsia="Arial" w:hAnsi="Arial"/>
          <w:sz w:val="24"/>
          <w:szCs w:val="24"/>
        </w:rPr>
        <w:t xml:space="preserve">государственных преференций;»;</w:t>
      </w:r>
    </w:p>
    <w:p>
      <w:pPr>
        <w:spacing w:after="120"/>
        <w:ind w:firstLine="567"/>
        <w:jc w:val="both"/>
      </w:pPr>
      <w:r>
        <w:rPr>
          <w:rFonts w:ascii="Arial" w:cs="Arial" w:eastAsia="Arial" w:hAnsi="Arial"/>
          <w:sz w:val="24"/>
          <w:szCs w:val="24"/>
        </w:rPr>
        <w:t xml:space="preserve">- подпункт 1 пункта 26 изложить в следующей редакции:</w:t>
      </w:r>
    </w:p>
    <w:p>
      <w:pPr>
        <w:spacing w:after="120"/>
        <w:ind w:firstLine="567"/>
        <w:jc w:val="both"/>
      </w:pPr>
      <w:r>
        <w:rPr>
          <w:rFonts w:ascii="Arial" w:cs="Arial" w:eastAsia="Arial" w:hAnsi="Arial"/>
          <w:sz w:val="24"/>
          <w:szCs w:val="24"/>
        </w:rPr>
        <w:t xml:space="preserve">«1) приоритетность проектов, которые должны быть направлены на: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строительство инфраструктурных объектов для сферы государственного и (или) муниципального значения;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развитие экономики;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укрепление и развитие объектов здравоохранения, образования, культуры, энергетики, религии, спорта, туризма и социальной инфраструктуры;</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подготовку и проведение международных спортивных, культурных и иных общественно значимых мероприятий государственного значения, </w:t>
      </w:r>
      <w:r>
        <w:rPr>
          <w:rFonts w:ascii="Arial" w:cs="Arial" w:eastAsia="Arial" w:hAnsi="Arial"/>
          <w:sz w:val="24"/>
          <w:szCs w:val="24"/>
        </w:rPr>
        <w:t xml:space="preserve">реализуемых в соответствии с решениями Президента Кыргызской Республики и (или) Кабинета Министров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ункт 28 изложить в следующей редакции:</w:t>
      </w:r>
    </w:p>
    <w:p>
      <w:pPr>
        <w:spacing w:after="120"/>
        <w:ind w:firstLine="567"/>
        <w:jc w:val="both"/>
      </w:pPr>
      <w:r>
        <w:rPr>
          <w:rFonts w:ascii="Arial" w:cs="Arial" w:eastAsia="Arial" w:hAnsi="Arial"/>
          <w:sz w:val="24"/>
          <w:szCs w:val="24"/>
        </w:rPr>
        <w:t xml:space="preserve">«28. Проекты, оказывающие стратегическое влияние на социально-экономическое развитие страны, направленные на строительство и модернизацию инфраструктуры государственного и (или) муниципального управления, развитие ключевых отраслей экономики и социальной сферы, а также проекты, </w:t>
      </w:r>
      <w:r>
        <w:rPr>
          <w:rFonts w:ascii="Arial" w:cs="Arial" w:eastAsia="Arial" w:hAnsi="Arial"/>
          <w:sz w:val="24"/>
          <w:szCs w:val="24"/>
        </w:rPr>
        <w:t xml:space="preserve">реализуемые в соответствии с решениями Президента Кыргызской Республики и (или) Кабинета Министров Кыргызской Республики</w:t>
      </w:r>
      <w:r>
        <w:rPr>
          <w:rFonts w:ascii="Arial" w:cs="Arial" w:eastAsia="Arial" w:hAnsi="Arial"/>
          <w:sz w:val="24"/>
          <w:szCs w:val="24"/>
        </w:rPr>
        <w:t xml:space="preserve">, связанные с подготовкой и проведением международных спортивных, культурных и иных общественно значимых мероприятий государственного значения</w:t>
      </w:r>
      <w:r>
        <w:rPr>
          <w:rFonts w:ascii="Arial" w:cs="Arial" w:eastAsia="Arial" w:hAnsi="Arial"/>
          <w:sz w:val="24"/>
          <w:szCs w:val="24"/>
        </w:rPr>
        <w:t xml:space="preserve">, а также финансируемые полностью или частично за счет средств республиканского бюджета, Фонда Президента Кыргызской Республики, Стабилизационного фонда Кыргызской Республики и иных государственных целевых фондов руководства страны и (или) с использованием государственного вклада при условии соответствия критериям проектов государственного значения, установленным настоящим Регламентом, подлежат внесению на рассмотрение Комиссии без представления документов, предусмотренных пунктом 30 настоящего Регламента,</w:t>
      </w:r>
      <w:r>
        <w:rPr>
          <w:rFonts w:ascii="Arial" w:cs="Arial" w:eastAsia="Arial" w:hAnsi="Arial"/>
          <w:sz w:val="24"/>
          <w:szCs w:val="24"/>
        </w:rPr>
        <w:t xml:space="preserve">за исключением аналитической записки, содержащей информацию, предусмотренную пунктом 31 настоящего Регламента.</w:t>
      </w:r>
    </w:p>
    <w:p>
      <w:pPr>
        <w:spacing w:after="120"/>
        <w:ind w:firstLine="567"/>
        <w:jc w:val="both"/>
      </w:pPr>
      <w:r>
        <w:rPr>
          <w:rFonts w:ascii="Arial" w:cs="Arial" w:eastAsia="Arial" w:hAnsi="Arial"/>
          <w:sz w:val="24"/>
          <w:szCs w:val="24"/>
        </w:rPr>
        <w:t xml:space="preserve">Рассмотрение таких проектов осуществляется Комиссией в упрощенном порядке на основании заявления ответственного за реализацию проекта государственного органа, содержащего описание проекта, сведения о параметрах, источниках финансирования, сроках реализации и запрашиваемых государственных преференциях.</w:t>
      </w:r>
    </w:p>
    <w:p>
      <w:pPr>
        <w:spacing w:after="120"/>
        <w:ind w:firstLine="567"/>
        <w:jc w:val="both"/>
      </w:pPr>
      <w:r>
        <w:rPr>
          <w:rFonts w:ascii="Arial" w:cs="Arial" w:eastAsia="Arial" w:hAnsi="Arial"/>
          <w:sz w:val="24"/>
          <w:szCs w:val="24"/>
        </w:rPr>
        <w:t xml:space="preserve">Заявление должно содержать:</w:t>
      </w:r>
    </w:p>
    <w:p>
      <w:pPr>
        <w:spacing w:after="120"/>
        <w:ind w:firstLine="567"/>
        <w:jc w:val="both"/>
      </w:pPr>
      <w:r>
        <w:rPr>
          <w:rFonts w:ascii="Arial" w:cs="Arial" w:eastAsia="Arial" w:hAnsi="Arial"/>
          <w:sz w:val="24"/>
          <w:szCs w:val="24"/>
        </w:rPr>
        <w:t xml:space="preserve">- полное описание проекта, включающее цели, стратегическую значимость, основные параметры, объем и источники финансирования, сроки реализации, государственный вклад и ожидаемые результаты;</w:t>
      </w:r>
    </w:p>
    <w:p>
      <w:pPr>
        <w:spacing w:after="120"/>
        <w:ind w:firstLine="567"/>
        <w:jc w:val="both"/>
      </w:pPr>
      <w:r>
        <w:rPr>
          <w:rFonts w:ascii="Arial" w:cs="Arial" w:eastAsia="Arial" w:hAnsi="Arial"/>
          <w:sz w:val="24"/>
          <w:szCs w:val="24"/>
        </w:rPr>
        <w:t xml:space="preserve">- сведения о запрашиваемых государственных преференциях в соответствии с пунктом 3 настоящего Регламента и иными нормами законодательства.</w:t>
      </w:r>
    </w:p>
    <w:p>
      <w:pPr>
        <w:spacing w:after="120"/>
        <w:ind w:firstLine="567"/>
        <w:jc w:val="both"/>
      </w:pPr>
      <w:r>
        <w:rPr>
          <w:rFonts w:ascii="Arial" w:cs="Arial" w:eastAsia="Arial" w:hAnsi="Arial"/>
          <w:sz w:val="24"/>
          <w:szCs w:val="24"/>
        </w:rPr>
        <w:t xml:space="preserve">Упрощенный порядок применяется при наличии акта Президента Кыргызской Республики или решения Кабинета Министров Кыргызской Республики, предусматривающего выделение средств из соответствующих государственных фондов либо предоставление государственного вклада, что подтверждает государственную необходимость реализации данного проекта.»;</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ункт 29</w:t>
      </w:r>
      <w:r>
        <w:rPr>
          <w:rFonts w:ascii="Arial" w:cs="Arial" w:eastAsia="Arial" w:hAnsi="Arial"/>
          <w:sz w:val="24"/>
          <w:szCs w:val="24"/>
        </w:rPr>
        <w:t xml:space="preserve">дополнить подпунктом 7 следующего содержания: </w:t>
      </w:r>
    </w:p>
    <w:p>
      <w:pPr>
        <w:spacing w:after="120"/>
        <w:ind w:firstLine="567"/>
        <w:jc w:val="both"/>
      </w:pPr>
      <w:r>
        <w:rPr>
          <w:rFonts w:ascii="Arial" w:cs="Arial" w:eastAsia="Arial" w:hAnsi="Arial"/>
          <w:sz w:val="24"/>
          <w:szCs w:val="24"/>
        </w:rPr>
        <w:t xml:space="preserve">«7) недропользование.»;</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подпункт 9 пункта 30 изложить в следующей редакции:</w:t>
      </w:r>
    </w:p>
    <w:p>
      <w:pPr>
        <w:spacing w:after="120"/>
        <w:ind w:firstLine="567"/>
        <w:jc w:val="both"/>
      </w:pPr>
      <w:r>
        <w:rPr>
          <w:rFonts w:ascii="Arial" w:cs="Arial" w:eastAsia="Arial" w:hAnsi="Arial"/>
          <w:sz w:val="24"/>
          <w:szCs w:val="24"/>
        </w:rPr>
        <w:t xml:space="preserve">«9) письменное обязательство заявителя (инвестора) о финансировании проекта с указанием объема инвестиций, сроков и порядка их внесения.»;</w:t>
      </w:r>
    </w:p>
    <w:p>
      <w:pPr>
        <w:spacing w:after="120"/>
        <w:ind w:firstLine="567"/>
        <w:jc w:val="both"/>
      </w:pPr>
      <w:r>
        <w:rPr>
          <w:rFonts w:ascii="Arial" w:cs="Arial" w:eastAsia="Arial" w:hAnsi="Arial"/>
          <w:sz w:val="24"/>
          <w:szCs w:val="24"/>
        </w:rPr>
        <w:t xml:space="preserve">-</w:t>
      </w:r>
      <w:hyperlink w:history="1" r:id="rId0bwzixorln2yatgio31rh">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дополнить пунктами 41</w:t>
      </w:r>
      <w:r>
        <w:rPr>
          <w:rFonts w:ascii="Arial" w:cs="Arial" w:eastAsia="Arial" w:hAnsi="Arial"/>
          <w:sz w:val="24"/>
          <w:szCs w:val="24"/>
        </w:rPr>
        <w:t xml:space="preserve">1</w:t>
      </w:r>
      <w:r>
        <w:rPr>
          <w:rFonts w:ascii="Arial" w:cs="Arial" w:eastAsia="Arial" w:hAnsi="Arial"/>
          <w:sz w:val="24"/>
          <w:szCs w:val="24"/>
        </w:rPr>
        <w:t xml:space="preserve">, 41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Ответственный куратор вправе внести в уполномоченный государственный орган обращение о продлении срока предоставления налоговых льгот на последующий период до 5 лет. </w:t>
      </w:r>
    </w:p>
    <w:p>
      <w:pPr>
        <w:spacing w:after="120"/>
        <w:ind w:firstLine="56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Продление срока предоставления налоговых льгот осуществляется в соответствии с </w:t>
      </w:r>
      <w:hyperlink w:history="1" r:id="rIdx8zkb22hnburxlqk2wqqz">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оценки эффективности налоговых льгот, утвержденным </w:t>
      </w:r>
      <w:hyperlink w:history="1" r:id="rIdwshgzt1uz3z2lybfqkf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оценке эффективности налоговых льгот» от 4 августа 2023 года № 388, с учетом целей, для достижения которых были предоставлены льготы, и выполнения организациями обязательств.»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ункт 44 после слов </w:t>
      </w:r>
      <w:r>
        <w:rPr>
          <w:rFonts w:ascii="Arial" w:cs="Arial" w:eastAsia="Arial" w:hAnsi="Arial"/>
          <w:sz w:val="24"/>
          <w:szCs w:val="24"/>
        </w:rPr>
        <w:t xml:space="preserve">«Ответственные кураторы» дополнить  словами </w:t>
      </w:r>
      <w:r>
        <w:rPr>
          <w:rFonts w:ascii="Arial" w:cs="Arial" w:eastAsia="Arial" w:hAnsi="Arial"/>
          <w:sz w:val="24"/>
          <w:szCs w:val="24"/>
        </w:rPr>
        <w:t xml:space="preserve">«</w:t>
      </w:r>
      <w:r>
        <w:rPr>
          <w:rFonts w:ascii="Arial" w:cs="Arial" w:eastAsia="Arial" w:hAnsi="Arial"/>
          <w:sz w:val="24"/>
          <w:szCs w:val="24"/>
        </w:rPr>
        <w:t xml:space="preserve">ежеквартально представляют в секретариат 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21 июля 2026 года № 54 (3813)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nbaxv7ctv8i8woypshkm">
      <w:r>
        <w:rPr>
          <w:rFonts w:ascii="Arial" w:cs="Arial" w:eastAsia="Arial" w:hAnsi="Arial"/>
          <w:color w:val="132D3F"/>
          <w:sz w:val="16"/>
          <w:szCs w:val="16"/>
          <w:u w:val="single"/>
        </w:rPr>
        <w:t xml:space="preserve">dalil.kg/document/230049078</w:t>
      </w:r>
    </w:hyperlink>
  </w:p>
  <w:p>
    <w:pPr>
      <w:spacing w:after="0" w:before="40"/>
      <w:jc w:val="center"/>
    </w:pPr>
    <w:hyperlink w:history="1" r:id="rId1ndnfrejlz60ksjijpe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yz082r-ex_sblopq9msb" Type="http://schemas.openxmlformats.org/officeDocument/2006/relationships/hyperlink" Target="https://dalil.kg/document/434918" TargetMode="External"/><Relationship Id="rIdc3aibnmrwoejfyp5pf43w" Type="http://schemas.openxmlformats.org/officeDocument/2006/relationships/hyperlink" Target="https://dalil.kg/document/112301#st_13" TargetMode="External"/><Relationship Id="rIdwvhdvyftiri1gfdgpafdx" Type="http://schemas.openxmlformats.org/officeDocument/2006/relationships/hyperlink" Target="https://dalil.kg/document/112301#st_17" TargetMode="External"/><Relationship Id="rIdsgbnxe7y-4blr_ytunl5w" Type="http://schemas.openxmlformats.org/officeDocument/2006/relationships/hyperlink" Target="https://dalil.kg/document/230041520" TargetMode="External"/><Relationship Id="rIdgpdiug637klp7kj1d7b8i" Type="http://schemas.openxmlformats.org/officeDocument/2006/relationships/hyperlink" Target="https://dalil.kg/document/230041533" TargetMode="External"/><Relationship Id="rIdxyy-vziiu6yrtzaw5k25w" Type="http://schemas.openxmlformats.org/officeDocument/2006/relationships/hyperlink" Target="https://dalil.kg/document/230041533" TargetMode="External"/><Relationship Id="rIduxt4oox_vmico-cuxmfxh" Type="http://schemas.openxmlformats.org/officeDocument/2006/relationships/hyperlink" Target="https://dalil.kg/document/230041520" TargetMode="External"/><Relationship Id="rId0bwzixorln2yatgio31rh" Type="http://schemas.openxmlformats.org/officeDocument/2006/relationships/hyperlink" Target="https://dalil.kg/document/230041533#g6" TargetMode="External"/><Relationship Id="rIdx8zkb22hnburxlqk2wqqz" Type="http://schemas.openxmlformats.org/officeDocument/2006/relationships/hyperlink" Target="https://dalil.kg/document/160523" TargetMode="External"/><Relationship Id="rIdwshgzt1uz3z2lybfqkfbj" Type="http://schemas.openxmlformats.org/officeDocument/2006/relationships/hyperlink" Target="https://dalil.kg/document/16052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baxv7ctv8i8woypshkm" Type="http://schemas.openxmlformats.org/officeDocument/2006/relationships/hyperlink" Target="https://dalil.kg/document/230049078" TargetMode="External"/><Relationship Id="rId1ndnfrejlz60ksjijpe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2026-09-24T20:54:11.416Z</dcterms:created>
  <dcterms:modified xsi:type="dcterms:W3CDTF">2026-09-24T20:54:11.416Z</dcterms:modified>
</cp:coreProperties>
</file>

<file path=docProps/custom.xml><?xml version="1.0" encoding="utf-8"?>
<Properties xmlns="http://schemas.openxmlformats.org/officeDocument/2006/custom-properties" xmlns:vt="http://schemas.openxmlformats.org/officeDocument/2006/docPropsVTypes"/>
</file>