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2026 года № 129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геологических парках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создания и функционирования геологических парков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Кыргызской Республики о геологических парках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геологических парках основывается на </w:t>
      </w:r>
      <w:hyperlink w:history="1" r:id="rIdzvoexfcpvx85bdpfjxs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состоит из настоящего Закона, законодательства в сфере охраны окружающей среды, законодательства в сфере недропользования, законодательства об охране и использовании историко-культурного наследия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понятия: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геологический парк (далее – геопарк) </w:t>
      </w:r>
      <w:r>
        <w:rPr>
          <w:rFonts w:ascii="Arial" w:cs="Arial" w:eastAsia="Arial" w:hAnsi="Arial"/>
          <w:sz w:val="24"/>
          <w:szCs w:val="24"/>
        </w:rPr>
        <w:t xml:space="preserve">– территория с четко определенными границами, обладающая уникальным геологическим наследием, предназначенная для охраны геологических объектов в сочетании с устойчивым экономическим развитием региона, включая развитие туризма, проведения научных исследований, а также образовательных проектов;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геологический объект </w:t>
      </w:r>
      <w:r>
        <w:rPr>
          <w:rFonts w:ascii="Arial" w:cs="Arial" w:eastAsia="Arial" w:hAnsi="Arial"/>
          <w:sz w:val="24"/>
          <w:szCs w:val="24"/>
        </w:rPr>
        <w:t xml:space="preserve">– отдельный природный ландшафт, обнажение горных пород, пещера, местонахождение ископаемой флоры и фауны или иное образование, представляющее особую научную, образовательную и эстетическую ценность как часть геологического наследия;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геологическое наследие</w:t>
      </w:r>
      <w:r>
        <w:rPr>
          <w:rFonts w:ascii="Arial" w:cs="Arial" w:eastAsia="Arial" w:hAnsi="Arial"/>
          <w:sz w:val="24"/>
          <w:szCs w:val="24"/>
        </w:rPr>
        <w:t xml:space="preserve"> – совокупность уникальных объектов неживой природы, имеющих ключевое значение для понимания истории формирования и эволюции Земли.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Задачи создания геопарка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Геопарки создаются для решения следующих задач: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обеспечение целостности уникальных геологических объектов, ландшафтов и палеонтологических находок;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проведение научных исследований и ведение экологического мониторинга за состоянием природных комплексов;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повышение уровня знаний населения о геологической истории Земли и экологии через образовательные программы;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создание условий для долгосрочного устойчивого экономического и социального развития местных сообществ, включая туризм и рекреацию с сохранением природных ресурсов;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интеграция уникальных природных территорий Кыргызской Республики в Глобальную сеть геопарков ЮНЕСКО.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Порядок создания геопарка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Геопарк создается решением полномочного представителя Президента Кыргызской Республики в соответствующей области, которым также утверждается положение о геопарке.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Предложение о создании геопарка может исходить от государственных органов, органов местного самоуправления, научных организаций или общественных объединений на основании соответствующего научного обоснования уникальности геологических объектов, расположенных на территории геопарка.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создания, функционирования, изменения границ и ликвидации геопарков, а также типовое положение, предусматривающее правила организации и деятельности геопарков, утверждаются решением Кабинета Министров Кыргызской Республики.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Геопарки, созданные в соответствии с настоящим Законом, могут претендовать на получение статуса Глобального геопарка ЮНЕСКО в порядке, установленном международными договорами и правилами ЮНЕСКО.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Режим охраны и использования территорий геопарка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границы геопарка могут включаться земли всех категорий, в том числе территории населенных пунктов, земли лесного фонда, водного фонда и иные виды особо охраняемых природных территорий.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геопарка не влечет изменения целевого назначения и правового статуса указанных земель, а также не ограничивает права их собственников и пользователей, если иное не установлено настоящим Законом.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геопарка допускается любая деятельность, не противоречащая природоохранному законодательству Кыргызской Республики и направленная на: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устойчивое социально-экономическое развитие региона и создание рабочих мест;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развитие туристической, научной и образовательной инфраструктуры;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сохранение природного и культурного наследия.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пределах границ геопарка выделяются геологические объекты, подлежащие особой охране. На их территориях запрещается любая деятельность, угрожающая сохранности природных комплексов, в том числе: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геологоразведочные работы и разработка месторождений полезных ископаемых;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строительство капитальных объектов промышленного назначения;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действия, влекущие необратимое изменение геологического или гидрологического режима;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иные виды деятельности, приводящие к разрушению или деградации геологических объектов.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территории геологических объектов, указанных в части 3 настоящей статьи, разрешается: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проведение научных исследований и экологического мониторинга;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организация регулируемого туризма (обустройство троп, смотровых площадок, информационных стендов) с соблюдением норм рекреационной нагрузки;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проведение образовательных и просветительских мероприятий.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Координация деятельности геопарков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деятельности всех геопарков на территории Кыргызской Республики и взаимодействия с Глобальной сетью геопарков ЮНЕСКО создается Национальный совет по геопаркам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Финансирование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функционированию геопарков производится за счет добровольных взносов физических и юридических лиц, средств фондов развития регионов и иных источников, не противоречащих законодательству.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Ответственность за нарушение режима охраны геопарка</w:t>
      </w:r>
    </w:p>
    <w:p>
      <w:pPr>
        <w:spacing w:after="120"/>
        <w:ind w:firstLine="170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и геологического объекта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виновные в нарушении установленного режима охраны геопарка и геологического объекта, несут ответственность в соответствии с </w:t>
      </w:r>
      <w:hyperlink w:history="1" r:id="rIdqp2ilvdncjz2hn2u4pc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Вступление в силу настоящего Закона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июля 2026 года № 57 (3817)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msi0xu86rbi7s24t1oslv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24 июня 2026 года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ijhkqg2xqkurd4xge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dalil.kg/document/230049166</w:t>
      </w:r>
    </w:hyperlink>
  </w:p>
  <w:p>
    <w:pPr>
      <w:spacing w:after="0" w:before="40"/>
      <w:jc w:val="center"/>
    </w:pPr>
    <w:hyperlink w:history="1" r:id="rIdcbsgezls1nupdr3wmf1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oexfcpvx85bdpfjxsg3" Type="http://schemas.openxmlformats.org/officeDocument/2006/relationships/hyperlink" Target="https://dalil.kg/document/112213" TargetMode="External"/><Relationship Id="rIdqp2ilvdncjz2hn2u4pcr3" Type="http://schemas.openxmlformats.org/officeDocument/2006/relationships/hyperlink" Target="https://dalil.kg/document/112306" TargetMode="External"/><Relationship Id="rIdmsi0xu86rbi7s24t1oslv" Type="http://schemas.openxmlformats.org/officeDocument/2006/relationships/hyperlink" Target="https://dalil.kg/document/2300480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ijhkqg2xqkurd4xgenn" Type="http://schemas.openxmlformats.org/officeDocument/2006/relationships/hyperlink" Target="https://dalil.kg/document/230049166" TargetMode="External"/><Relationship Id="rIdcbsgezls1nupdr3wmf1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2026-09-23T21:41:10.356Z</dcterms:created>
  <dcterms:modified xsi:type="dcterms:W3CDTF">2026-09-23T21:41:10.356Z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