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постановлению Кабинета Министров Кыргызской Республики
 от 29 июля 2026 года № 513)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фондах развития и материального обеспечения уполномоченных антимонопольных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Фонды развития и материального обеспечения уполномоченных антимонопольных органов (далее – Фонды) создаются в целях укрепления материально-технической базы, создания необходимых условий для деятельности и обеспечения социальной защиты сотрудников Службы антимонопольного регулирования при Министерстве экономики и коммерции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Департамента по регулированию топливно-энергетического комплекса при Министерстве энергетики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(далее – антимонопольные органы).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Фонды в своей деятельности руководствуются </w:t>
      </w:r>
      <w:hyperlink w:history="1" r:id="rIdab3mkj0edbi_cfdjphu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законами Кыргызской Республики «</w:t>
      </w:r>
      <w:hyperlink w:history="1" r:id="rId2vsdvfqqv_rcpmqedef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естественных монополиях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dfvqpdq4vemawd2hs4s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конкуренции</w:t>
        </w:r>
      </w:hyperlink>
      <w:r>
        <w:rPr>
          <w:rFonts w:ascii="Arial" w:cs="Arial" w:eastAsia="Arial" w:hAnsi="Arial"/>
          <w:sz w:val="24"/>
          <w:szCs w:val="24"/>
        </w:rPr>
        <w:t xml:space="preserve">»,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Порядок формирования средств Фондов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Суммы, взысканные антимонопольными органами вследствие отклонения от регулятивных требований, установленных законодательством Кыргызской Республики в сфере антимонопольного регулирования, в </w:t>
      </w:r>
      <w:r>
        <w:rPr>
          <w:rFonts w:ascii="Arial" w:cs="Arial" w:eastAsia="Arial" w:hAnsi="Arial"/>
          <w:sz w:val="24"/>
          <w:szCs w:val="24"/>
        </w:rPr>
        <w:t xml:space="preserve">виде незаконно (необоснованно и дополнительно) полученных доходов, в полном объеме зачисляются в доход республиканского бюджета с отражением на аккумулирующих счетах, открытых в структуре бюджетных счетов антимонопольных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Фондов формируются за счет финансирования из расходной части республиканского бюджета в размере 50 процентов от суммы отклонения от регулятивных требований</w:t>
      </w:r>
      <w:r>
        <w:rPr>
          <w:rFonts w:ascii="Arial" w:cs="Arial" w:eastAsia="Arial" w:hAnsi="Arial"/>
          <w:sz w:val="24"/>
          <w:szCs w:val="24"/>
        </w:rPr>
        <w:t xml:space="preserve">, поступивших в республиканский бюджет за предыдущий год. В процессе исполнения республиканского бюджета производится корректировка зачисленной суммы в сторону увеличения или уменьшения на основании акта сверки фактически поступивших средств в республиканский бюджет в полном объеме за предыдущий год.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Порядок использования средств Фондов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Фондов используются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разработку, издание, приобретение буклетов, брошюр и иной специализированной литературы, в том числе на электронных носителях, по вопросам, относящимся к деятельности антимонопольных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организацию обучения сотрудников антимонопольных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в работе национальных органов и международных организаций по вопросам защиты и развития конкуренции, антимонопольного регулирования, защиты прав потребителей, рекламы, а также по иным вопросам, отнесенным к компетенции антимонопольных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расходы, связанные с организацией и проведением социально-культурных и спортивных мероприятий, официальных встреч, семинаров, конференций, благотворительных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оплату услуг, оказываемых консалтинговыми, оценочными, аудиторскими организациями, физическими и юридическими лицами, а также оплату работ экспертов и специалистов, в том числе иностранных, имеющих право заниматься выполнением определенных работ и услуг при рассмотрении дел о нарушении законодательства, проведении проверок и экспертиз, разработке проектов нормативных правовых актов; оплату услуг </w:t>
      </w:r>
      <w:r>
        <w:rPr>
          <w:rFonts w:ascii="Arial" w:cs="Arial" w:eastAsia="Arial" w:hAnsi="Arial"/>
          <w:sz w:val="24"/>
          <w:szCs w:val="24"/>
        </w:rPr>
        <w:t xml:space="preserve">IT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специалистов,</w:t>
      </w:r>
      <w:r>
        <w:rPr>
          <w:rFonts w:ascii="Arial" w:cs="Arial" w:eastAsia="Arial" w:hAnsi="Arial"/>
          <w:sz w:val="24"/>
          <w:szCs w:val="24"/>
        </w:rPr>
        <w:t xml:space="preserve"> привлекаемых на договорной основе при производственной необходимости до 10 процентов от штатной численности </w:t>
      </w:r>
      <w:r>
        <w:rPr>
          <w:rFonts w:ascii="Arial" w:cs="Arial" w:eastAsia="Arial" w:hAnsi="Arial"/>
          <w:sz w:val="24"/>
          <w:szCs w:val="24"/>
        </w:rPr>
        <w:t xml:space="preserve">центрального аппарата </w:t>
      </w:r>
      <w:r>
        <w:rPr>
          <w:rFonts w:ascii="Arial" w:cs="Arial" w:eastAsia="Arial" w:hAnsi="Arial"/>
          <w:sz w:val="24"/>
          <w:szCs w:val="24"/>
        </w:rPr>
        <w:t xml:space="preserve">с вознаграждением на договорной основе; оплату научно-исследовательских работ по разработке стандартов, методик, руководств и иных методических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организацию мероприятий, направленных на повышение эффективности деятельности антимонопольных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развитие и укрепление материально-технической и социальной базы антимонопольных органов, в том числе приобретение служебного автотранспорта, для обеспечения их эффективной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приобретение компьютерного оборудования, оргтехники, средств связи, мебели, а также оплату расходов на их ремонт и техническое обслуживание;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стимулирующие выплаты (ежемесячные и единовременные) работникам антимонопольных органов, которые осуществляются в соответствии с трудовым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доплату к заработной плате работникам, исполняющим обязанности временно отсутствующих работников, а также технического и младшего обслуживающего персонала;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оказание единовременной материальной помощи на лечение и иные цели в размере до одной месячной заработной платы;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оплату командировочных расходов, в части возмещения фактически произведенных расходов, в порядке, установленном трудовым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строительство, содержание, текущий и капитальный ремонт служебных зданий и сооружений, ведомственного учебного центра, санатория, пансионата и жилищного 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средств Фондов производится в следующих пропорциях: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80 процентов – на обеспечение выплат работникам, предусмотренных настоящим пунктом;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20 процентов – на материально-техническое оснащение, обучение, а также иные расходы, предусмотренные настоящим пунктом.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Фондов в первоочередном порядке используются для исполнения обязательств, предусмотренных коллективным договором, заключенным между работодателями и представительными органами работников антимонопольных органов в соответствии с требованиями трудового законодательства Кыргызской Республики, при наличии средств в Фондах и по решению руководителя антимонопольного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Порядок учета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Расходование средств Фондов осуществляется в соответствии с утвержденными сметами расходов и в пределах фактически поступивших доходов.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Распорядителем средств соответствующего Фонда и лицом, ответственным за их целевое использование, является руководитель антимонопольного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Структурные подразделения антимонопольных органов, осуществляющие ведение бухгалтерского учета, обеспечивают учет формирования (поступления), зачисления и распределения средств Фондов, контроль за целевым использованием в соответствии с утвержденными сметами расходов, а также представление отчетности по использованию средств Фондов их распорядителям в соответствии с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-i1vrgf3taseymdni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dalil.kg/document/230049518</w:t>
      </w:r>
    </w:hyperlink>
  </w:p>
  <w:p>
    <w:pPr>
      <w:spacing w:after="0" w:before="40"/>
      <w:jc w:val="center"/>
    </w:pPr>
    <w:hyperlink w:history="1" r:id="rIdzloajo-pfsdxaecodw6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3mkj0edbi_cfdjphuqb" Type="http://schemas.openxmlformats.org/officeDocument/2006/relationships/hyperlink" Target="https://dalil.kg/document/111820" TargetMode="External"/><Relationship Id="rId2vsdvfqqv_rcpmqedefep" Type="http://schemas.openxmlformats.org/officeDocument/2006/relationships/hyperlink" Target="https://dalil.kg/document/203389" TargetMode="External"/><Relationship Id="rIddfvqpdq4vemawd2hs4sys" Type="http://schemas.openxmlformats.org/officeDocument/2006/relationships/hyperlink" Target="https://dalil.kg/document/2033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-i1vrgf3taseymdnifg" Type="http://schemas.openxmlformats.org/officeDocument/2006/relationships/hyperlink" Target="https://dalil.kg/document/230049518" TargetMode="External"/><Relationship Id="rIdzloajo-pfsdxaecodw6t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2026-09-23T15:58:00.282Z</dcterms:created>
  <dcterms:modified xsi:type="dcterms:W3CDTF">2026-09-23T15:58:00.282Z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