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аудиторской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об осуществлении аудиторской деятельности в рамках Евразийского экономического союза от 19 апреля 2022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аудиторской деятельности», статьями </w:t>
      </w:r>
      <w:hyperlink w:history="1" r:id="rIdu77yw0wphysvirrvaw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95aauzzsk3xkelwt6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yybndg99arzxwqy48b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c5yoze56y46chjbpjzz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 профессиональных аудиторских объединений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d4sk946ivtii7pz10vc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представления отчетов о деятельности аудиторской организации и профессионального аудиторского объединения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wm2zuzsfin-5ne6g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wa4hdzjtgdtizbggs7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объединений» от 7 октября 2022 года № 550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l2m48unwxqlhycdjqu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аудиторов, аудиторских организаций, профессиональных аудиторских объединений, утвержденный вышеуказанным </w:t>
      </w:r>
      <w:hyperlink w:history="1" r:id="rIdhmuuabtcyt83zftr-3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«в бумажном и электронном формате» заменить словами «в бумажном и (или) цифровом форматах, в том числе посредством автоматизированных информационных систем»;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подпунктами 10,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</w:t>
      </w:r>
      <w:r>
        <w:rPr>
          <w:rFonts w:ascii="Arial" w:cs="Arial" w:eastAsia="Arial" w:hAnsi="Arial"/>
          <w:sz w:val="24"/>
          <w:szCs w:val="24"/>
        </w:rPr>
        <w:t xml:space="preserve">документ, свидетельствующий об отсутствии непогашенной судимости за тяжкие и особо тяжкие преступления и за преступления в сфере экономики, выданный уполномоченным государственным органом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документы, свидетельствующие о положительной оценке участниками гражданского оборота, включая профессиональные аудиторские объединения, деловых и профессиональных качеств аудитора.»;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Аудитор, зарегистрированный в части 1 «Реестр аудиторов» Единого государственного реестра аудиторов, аудиторских организаций, профессиональных аудиторских объединений, при осуществлении аудиторской деятельности должен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в штате аудиторской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членом профессионального аудиторского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иметь неснятой или непогашенной судимости за совершение тяжких и особо тяжких преступлений, а также преступлений в сфере экономики, за злоупотребление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положительную оценку участников гражданского оборота деловых и профессиональных качеств аудитора, в том числе от профессионального аудиторского объединения.»;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слова «в бумажном и электронном формате» заменить словами «в бумажном и (или) цифровом форматах, в том числе посредством автоматизированных информационных систем»;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исключении аудиторской организации из «Реестра аудиторских организаций, допущенных к аудиту субъектов публичного интереса, субъектов крупного предпринимательства» и переходе в «Реестр аудиторских организаций» в соответствии с подпунктом 6 </w:t>
      </w:r>
      <w:r>
        <w:rPr>
          <w:rFonts w:ascii="Arial" w:cs="Arial" w:eastAsia="Arial" w:hAnsi="Arial"/>
          <w:sz w:val="24"/>
          <w:szCs w:val="24"/>
        </w:rPr>
        <w:t xml:space="preserve">пункта 37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у аудиторской организации из ИРН исключается порядковый номер ГГ, присвоенный согласно </w:t>
      </w:r>
      <w:r>
        <w:rPr>
          <w:rFonts w:ascii="Arial" w:cs="Arial" w:eastAsia="Arial" w:hAnsi="Arial"/>
          <w:sz w:val="24"/>
          <w:szCs w:val="24"/>
        </w:rPr>
        <w:t xml:space="preserve">пункту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37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представление заявления о прекращении своей деятельности, </w:t>
      </w:r>
      <w:r>
        <w:rPr>
          <w:rFonts w:ascii="Arial" w:cs="Arial" w:eastAsia="Arial" w:hAnsi="Arial"/>
          <w:sz w:val="24"/>
          <w:szCs w:val="24"/>
        </w:rPr>
        <w:t xml:space="preserve">добровольного заявления об исключении из «Реестра аудиторских организаций, допущенных к аудиту субъектов публичного интереса, субъектов крупного предпринимательства» и переходе в «Реестр аудиторских организаций», добровольного заявления об исключении из</w:t>
      </w:r>
      <w:r>
        <w:rPr>
          <w:rFonts w:ascii="Arial" w:cs="Arial" w:eastAsia="Arial" w:hAnsi="Arial"/>
          <w:sz w:val="24"/>
          <w:szCs w:val="24"/>
        </w:rPr>
        <w:t xml:space="preserve"> Единого государственного реестра.».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xzxyklgatmkavc1kb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m0pwubiitagkd4jqf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предпринимательства» от 12 августа 2022 года № 454 следующее изменение:</w:t>
      </w:r>
    </w:p>
    <w:p>
      <w:pPr>
        <w:spacing w:after="120"/>
        <w:jc w:val="both"/>
      </w:pPr>
      <w:hyperlink w:history="1" r:id="rIdrabbkfs34emc9dxfte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на государственный язык и опубликования стандартов аудита, стандартов контроля качества, сопутствующих стандартов, Кодекса этики профессиональных бухгалтеров, международных стандартов финансовой отчетности и международных стандартов финансовой отчетности для субъектов малого и среднего предпринимательства, утвержденный вышеуказанным </w:t>
      </w:r>
      <w:hyperlink w:history="1" r:id="rIdp8nuobhoue3ryhrfix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Изменения, внесенные в международные стандарты до их опубликования, могут быть применены субъектами в случае, если они в обязательном порядке раскрыты в примечаниях к финансовой отчетности.».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b5sgu7cljbh3qsqu8q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cfr1ieksnulfanz0uy4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предоставления отчетов о деятельности аудиторской организации и профессионального аудиторского объединения» от 25 апреля 2023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-c0w0fcirjoz0n0xj3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dxgrdrnnn7uuujadn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 признанных квалификационных сертификатов в области бухгалтерского учета и аудита» от 11 января 2024 года №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kttnynjpsyk1whwyl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r9_iv31doecjacp-f7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 профессиональных аудиторских объединений» от 25 марта 2024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в сфере лицензионно-разрешительной деятельности» от 3 сентября 2025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августа 2026 года № 60 (3820)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7yw0wphysvirrvawrnz" Type="http://schemas.openxmlformats.org/officeDocument/2006/relationships/hyperlink" Target="http://kodeks.duckdns.org/document/112301#st_13" TargetMode="External"/><Relationship Id="rIdoy95aauzzsk3xkelwt6-k" Type="http://schemas.openxmlformats.org/officeDocument/2006/relationships/hyperlink" Target="http://kodeks.duckdns.org/document/112301#st_17" TargetMode="External"/><Relationship Id="rIduyybndg99arzxwqy48bzw" Type="http://schemas.openxmlformats.org/officeDocument/2006/relationships/hyperlink" Target="http://kodeks.duckdns.org/document/230049817" TargetMode="External"/><Relationship Id="rIdc5yoze56y46chjbpjzz58" Type="http://schemas.openxmlformats.org/officeDocument/2006/relationships/hyperlink" Target="http://kodeks.duckdns.org/document/230049760" TargetMode="External"/><Relationship Id="rIdd4sk946ivtii7pz10vc0e" Type="http://schemas.openxmlformats.org/officeDocument/2006/relationships/hyperlink" Target="http://kodeks.duckdns.org/document/230049725" TargetMode="External"/><Relationship Id="rIdtlwm2zuzsfin-5ne6givt" Type="http://schemas.openxmlformats.org/officeDocument/2006/relationships/hyperlink" Target="http://kodeks.duckdns.org/document/159669" TargetMode="External"/><Relationship Id="rIdwa4hdzjtgdtizbggs7bfk" Type="http://schemas.openxmlformats.org/officeDocument/2006/relationships/hyperlink" Target="http://kodeks.duckdns.org/document/159702" TargetMode="External"/><Relationship Id="rIdvl2m48unwxqlhycdjqu50" Type="http://schemas.openxmlformats.org/officeDocument/2006/relationships/hyperlink" Target="http://kodeks.duckdns.org/document/159702" TargetMode="External"/><Relationship Id="rIdhmuuabtcyt83zftr-3xgs" Type="http://schemas.openxmlformats.org/officeDocument/2006/relationships/hyperlink" Target="http://kodeks.duckdns.org/document/159669" TargetMode="External"/><Relationship Id="rIdfxzxyklgatmkavc1kb6kv" Type="http://schemas.openxmlformats.org/officeDocument/2006/relationships/hyperlink" Target="http://kodeks.duckdns.org/document/159363" TargetMode="External"/><Relationship Id="rIdsm0pwubiitagkd4jqfgyc" Type="http://schemas.openxmlformats.org/officeDocument/2006/relationships/hyperlink" Target="http://kodeks.duckdns.org/document/159374" TargetMode="External"/><Relationship Id="rIdrabbkfs34emc9dxftewtl" Type="http://schemas.openxmlformats.org/officeDocument/2006/relationships/hyperlink" Target="http://kodeks.duckdns.org/document/159374" TargetMode="External"/><Relationship Id="rIdp8nuobhoue3ryhrfixbgo" Type="http://schemas.openxmlformats.org/officeDocument/2006/relationships/hyperlink" Target="http://kodeks.duckdns.org/document/159363" TargetMode="External"/><Relationship Id="rIdb5sgu7cljbh3qsqu8qhh9" Type="http://schemas.openxmlformats.org/officeDocument/2006/relationships/hyperlink" Target="http://kodeks.duckdns.org/document/160194" TargetMode="External"/><Relationship Id="rIdcfr1ieksnulfanz0uy4qc" Type="http://schemas.openxmlformats.org/officeDocument/2006/relationships/hyperlink" Target="http://kodeks.duckdns.org/document/160195" TargetMode="External"/><Relationship Id="rIdh-c0w0fcirjoz0n0xj3wr" Type="http://schemas.openxmlformats.org/officeDocument/2006/relationships/hyperlink" Target="http://kodeks.duckdns.org/document/230002380" TargetMode="External"/><Relationship Id="rIdmdxgrdrnnn7uuujadntg_" Type="http://schemas.openxmlformats.org/officeDocument/2006/relationships/hyperlink" Target="http://kodeks.duckdns.org/document/230002419" TargetMode="External"/><Relationship Id="rId-kttnynjpsyk1whwyliy_" Type="http://schemas.openxmlformats.org/officeDocument/2006/relationships/hyperlink" Target="http://kodeks.duckdns.org/document/230004516" TargetMode="External"/><Relationship Id="rIdar9_iv31doecjacp-f7at" Type="http://schemas.openxmlformats.org/officeDocument/2006/relationships/hyperlink" Target="http://kodeks.duckdns.org/document/23000463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2026-09-22T23:48:08.463Z</dcterms:created>
  <dcterms:modified xsi:type="dcterms:W3CDTF">2026-09-22T23:48:08.463Z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