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127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венчурного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gjezwypjiswr_tgncr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_cendrniyqbwthtnu5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Правовое положение полных товарищей, участвующих в коммандитном товариществе, и их ответственность по обязательствам товарищества определяются правилами настоящего Кодекса об участниках полного товарищества, за исключением полных товарищей, участвующих в коммандитном товариществе венчурных фондов.";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 может быть полным товарищем только в одном коммандитном товариществе, за исключением полных товарищей в коммандитном товариществе венчурных фондов.";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целей деятельности венчурных фондов могут создаваться коммандитные товарищества венчурных фондов. К коммандитному товариществу венчурных фондов не применяются правила настоящего Кодекса о полном товариществе, а также основные правила о коммандитном товариществе. Особенности регулирования коммандитных товариществ венчурных фондов устанавливаются настоящим Кодексом и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статьями </w:t>
      </w:r>
      <w:hyperlink w:history="1" r:id="rIdbw9srr7_f1svor62cel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126-1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fmaqjren7imvn7ftnbb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126-5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mrpfrfou3kl6d5mlpm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126-1</w:t>
        </w:r>
      </w:hyperlink>
      <w:r>
        <w:rPr>
          <w:rFonts w:ascii="Arial" w:cs="Arial" w:eastAsia="Arial" w:hAnsi="Arial"/>
          <w:sz w:val="24"/>
          <w:szCs w:val="24"/>
        </w:rPr>
        <w:t xml:space="preserve">. Коммандитные товарищества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Венчурный фонд может быть создан в форме коммандитного товарищества венчурного фонда. Фирменное наименование коммандитного товарищества венчурных фондов должно содержать наименование товарищества либо имя (наименование) одного полного товарища и слова "венчурный фонд".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коммандитному товариществу венчурных фондов не применяются правила настоящего Кодекса о полном товариществе.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 может быть полным товарищем в нескольких коммандитных товариществах венчурных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Полный товарищ в коммандитном товариществе венчурных фондов не может быть участником полного товарищества.</w:t>
      </w:r>
    </w:p>
    <w:p>
      <w:pPr>
        <w:spacing w:after="120"/>
        <w:ind w:firstLine="567"/>
        <w:jc w:val="both"/>
      </w:pPr>
      <w:hyperlink w:history="1" r:id="rIdz_l0v1khhyqj3llqmw4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126-2</w:t>
        </w:r>
      </w:hyperlink>
      <w:r>
        <w:rPr>
          <w:rFonts w:ascii="Arial" w:cs="Arial" w:eastAsia="Arial" w:hAnsi="Arial"/>
          <w:sz w:val="24"/>
          <w:szCs w:val="24"/>
        </w:rPr>
        <w:t xml:space="preserve">. Учредительный договор коммандитного товарищества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Коммандитное товарищество венчурных фондов создается и действует на основании учредительного договора, который выполняет также функцию устава товарищества. Учредительный договор подписывается всеми полными товарищами.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Учредительный договор коммандитного товарищества должен содержать, помимо сведений, указанных в пункте 4 </w:t>
      </w:r>
      <w:hyperlink w:history="1" r:id="rIdoknalwrpwzwflbkrjn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условия о размере и составе уставного капитала товарищества; о размере и порядке изменения долей каждого из полных товарищей в уставном фонде; о размере, составе, сроках и порядке внесения ими вкладов, их ответственности за нарушение обязанностей по внесению вкладов; о совокупном размере вкладов коммандитных товарищей.</w:t>
      </w:r>
    </w:p>
    <w:p>
      <w:pPr>
        <w:spacing w:after="120"/>
        <w:ind w:firstLine="567"/>
        <w:jc w:val="both"/>
      </w:pPr>
      <w:hyperlink w:history="1" r:id="rIdld8votojlpowl5w0qn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126-3</w:t>
        </w:r>
      </w:hyperlink>
      <w:r>
        <w:rPr>
          <w:rFonts w:ascii="Arial" w:cs="Arial" w:eastAsia="Arial" w:hAnsi="Arial"/>
          <w:sz w:val="24"/>
          <w:szCs w:val="24"/>
        </w:rPr>
        <w:t xml:space="preserve">. Управление в коммандитном товариществе и ведение его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деятельностью коммандитного товарищества венчурных фондов осуществляется полными товарищами. Порядок управления и ведения дел такого товарищества устанавливается его полными товарищами в соответствии с учредительными документами товарищества венчурных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Коммандитные товарищи не вправе участвовать в управлении делами коммандитного товарищества венчурных фондов и оспаривать действия полных товарищей по управлению делами товарищества. Они могут выступать от его имени только по доверенности.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Полные товарищи обязуются осуществлять свою деятельность в интересах коммандитных товарищей и целей создания товарищества венчурных фондов.</w:t>
      </w:r>
    </w:p>
    <w:p>
      <w:pPr>
        <w:spacing w:after="120"/>
        <w:ind w:firstLine="567"/>
        <w:jc w:val="both"/>
      </w:pPr>
      <w:hyperlink w:history="1" r:id="rId1l159zzkatabobf-xyt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126-4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вкладчика коммандитного товарищества венчурного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Вкладчик коммандитного товарищества венчурных фондов обязан внести вклад в уставный капитал, а также представить письменное обязательство внести вклад в срок, определенный совместно с товариществом. Внесение вклада сопровождается заключением договора о коммандитном товариществе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Вкладчик коммандитного товарищества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часть прибыли товарищества в порядке, предусмотренном учредительным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знакомиться с годовыми отчетами и балансами товарищества;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окончании определенного учредительным договором срока выйти из товарищества и получить свой вклад в порядке, предусмотренном учредительным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передать свою долю или ее часть в товариществе другому вкладчику или третьему лицу в случае, если это не противоречит условиям учредительного договора или иных соглашений. Передача вкладчиком всей своей доли иному лицу прекращает его участие в товариществе.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договором коммандитного товарищества венчурных фондов могут предусматриваться и иные права вкладчика, в том числе по участию в подготовке определенных решений товарищества.</w:t>
      </w:r>
    </w:p>
    <w:p>
      <w:pPr>
        <w:spacing w:after="120"/>
        <w:ind w:firstLine="567"/>
        <w:jc w:val="both"/>
      </w:pPr>
      <w:hyperlink w:history="1" r:id="rIdlldbxvx2ma4y17ay0r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126-5</w:t>
        </w:r>
      </w:hyperlink>
      <w:r>
        <w:rPr>
          <w:rFonts w:ascii="Arial" w:cs="Arial" w:eastAsia="Arial" w:hAnsi="Arial"/>
          <w:sz w:val="24"/>
          <w:szCs w:val="24"/>
        </w:rPr>
        <w:t xml:space="preserve">. Ликвидация коммандитного товарищества венчурного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Коммандитное товарищество венчурного фонда ликвидируется при завершении срока действия товарищества в соответствии с учредительными документами товарищества.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Коммандитное товарищество венчурного фонда сохраняется, если в нем остаются по крайней мере один полный товарищ и один вкладчик.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коммандитного товарищества венчурного фонда, в том числе в случае банкротства (несостоятельности), вкладчики имеют преимущественное право перед полными товарищами на получение вкладов из имущества товарищества, оставшегося после удовлетворения требований его кредиторов.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Оставшееся после этого имущество товарищества распределяется между полными товарищами и вкладчиками в соответствии с учредительным договором или иным соглашением, заключенным между полными товарищами и вкладчиками.".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lkbmws8uixwaep3h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pcfq1koasdqnkdydjwx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 являются профессиональной деятельностью по предоставлению займов: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физическим лицом беспроцентного займа физическому лицу;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работодателем работнику;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физическим лицам, являющимся учредителями (участниками) или аффилированными лицами коммерческой организации, которая осуществляет профессиональную деятельность по предоставлению денежных средств на условиях платности, срочности и возвратности;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брокером клиенту для совершения сделок купли-продажи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конвертируемых займов, а также ведение деятельности в рамках венчурного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случаи, предусмотренные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pgtnjqiovkcopesc95z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34-2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_vppzx6tmazib__p3e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34-2</w:t>
        </w:r>
      </w:hyperlink>
      <w:r>
        <w:rPr>
          <w:rFonts w:ascii="Arial" w:cs="Arial" w:eastAsia="Arial" w:hAnsi="Arial"/>
          <w:sz w:val="24"/>
          <w:szCs w:val="24"/>
        </w:rPr>
        <w:t xml:space="preserve">. Альтернативные договорные инструменты</w:t>
      </w:r>
    </w:p>
    <w:p>
      <w:pPr>
        <w:spacing w:after="120"/>
        <w:ind w:firstLine="567"/>
        <w:jc w:val="both"/>
      </w:pPr>
      <w:hyperlink w:history="1" r:id="rIdubo-3x1ucu60jx1dfje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738-60</w:t>
        </w:r>
      </w:hyperlink>
      <w:r>
        <w:rPr>
          <w:rFonts w:ascii="Arial" w:cs="Arial" w:eastAsia="Arial" w:hAnsi="Arial"/>
          <w:sz w:val="24"/>
          <w:szCs w:val="24"/>
        </w:rPr>
        <w:t xml:space="preserve">. Опционный договор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опционному договору одна сторона (держатель опциона) на условиях, предусмотренных таким договором, вправе потребовать в установленный договором срок от другой стороны (продавца опциона) совершения предусмотренных опционным договором действий (в том числе уплатить денежные средства, передать или принять имущество, включая акции компании или доли в уставном капитале компании) и при этом, если уполномоченная сторона не заявит требование в указанный срок, опционный договор прекращается. Опционным договором может быть предусмотрено, что требование по опционному договору считается заявленным при наступлении определенных таким договором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право заявить требование по опционному договору сторона уплачивает предусмотренный таким договором платеж, за исключением случаев, если опционным договором, в том числе заключенным между коммерческими организациями, предусмотрена его безвозмездность либо если заключение такого договора обусловлено иным обязательством или иным охраняемым законом интересом, которые вытекают из отношений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прекращении опционного договора платеж, предусмотренный пунктом 2 настоящей статьи, возврату не подлежит, если иное не предусмотрено опционным договором.</w:t>
      </w:r>
    </w:p>
    <w:p>
      <w:pPr>
        <w:spacing w:after="120"/>
        <w:ind w:firstLine="567"/>
        <w:jc w:val="both"/>
      </w:pPr>
      <w:hyperlink w:history="1" r:id="rIdahsd1ldjhkoziqbxhs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738-61</w:t>
        </w:r>
      </w:hyperlink>
      <w:r>
        <w:rPr>
          <w:rFonts w:ascii="Arial" w:cs="Arial" w:eastAsia="Arial" w:hAnsi="Arial"/>
          <w:sz w:val="24"/>
          <w:szCs w:val="24"/>
        </w:rPr>
        <w:t xml:space="preserve">. Договор конвертируемого займа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Договором конвертируемого займа признается договор, заключенный между стартапами, инновационными компаниями и венчурным инвестором, устанавливающий условия конвертации займа в акции компании или в долю в уставном капитале компании в установленный срок в будущем и (или) при наступлении оговоренных сторонами условий и иных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Существенными условиями договора конвертируемого займа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или условия, при наступлении которых займодавец вправе требовать конвертации займа, а заемщик - обеспечить конвертацию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стартапа (максимальная);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дисконт или скидка, предоставляемая инвестору, а также сумма увеличения уставного капитала общества или порядок его определения.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договора конвертируемого займа, соглашения об изменении условий заключенного ранее договора, а также соглашения об уступке другому лицу права требовать от заемщика размещения в пользу этого лица дополнительных акций во исполнение договора конвертируемого займа, если такая уступка допускается указанным договором, требует предварительного согласия общего собрания акционеров заемщика или участников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 и порядок конвертации займа, включая условия, при которых наступает конвертация и коэффициент конвертации, должны быть согласованы сторонами и прописаны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Обязательным условием для заключения договора конвертируемого займа является наличие решения общего собрания участников (акционеров) заемщика, принятого большинством голосов участников (акционеров) общества.".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2atd71e4box7shlwoy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6s5xcnzhynznwu0ozrl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Хозяйственные товарищества и общества могут создаваться в форме полного товарищества, коммандитного товарищества, коммандитного товарищества венчурных фондов, общества с ограниченной ответственностью, общества с дополнительной ответственностью.";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1 и 2 </w:t>
      </w:r>
      <w:hyperlink w:history="1" r:id="rIdydy5irikg2h-4kuhpc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Участниками полных товариществ и полными товарищами в коммандитных товариществах, коммандитных товариществах венчурных фондов могут быть граждане и (или) юридические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Гражданин может быть участником только одного полного товарищества или полным товарищем в одном коммандитном товариществе, за исключением коммандитных товариществ венчурных фондов.";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dbqo-b0gtmvq9wieu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 коммандитным товариществам венчурных фондов не применяются нормы настоящего Закона о полном товариществе. К коммандитным товариществам венчурных фондов применяются нормы настоящего Закона о коммандитном товариществе в части, не противоречащей </w:t>
      </w:r>
      <w:hyperlink w:history="1" r:id="rIdk0udgeumxyrpchozuc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II-1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akeot6emurh6hb7p6oj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II-1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fcp7ubjb2mo7ptech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II-1</w:t>
        </w:r>
      </w:hyperlink>
      <w:r>
        <w:rPr>
          <w:rFonts w:ascii="Arial" w:cs="Arial" w:eastAsia="Arial" w:hAnsi="Arial"/>
          <w:sz w:val="24"/>
          <w:szCs w:val="24"/>
        </w:rPr>
        <w:t xml:space="preserve">. Коммандитное товарищество венчурных фондов</w:t>
      </w:r>
    </w:p>
    <w:p>
      <w:pPr>
        <w:spacing w:after="120"/>
        <w:ind w:firstLine="567"/>
        <w:jc w:val="both"/>
      </w:pPr>
      <w:hyperlink w:history="1" r:id="rIdcnyrmdmebhopysrpa8t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35-1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регулирования коммандитных товариществ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Правовое положение полных товарищей, участвующих в коммандитном товариществе венчурных фондов, и их ответственность по обязательствам товарищества определяются настоящим Законом, Гражданским кодексом Кыргызской Республики и учредительными документами товарищества.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Вкладчики коммандитного товарищества имеют право получать часть прибыли товарищества в порядке, предусмотренном учредительными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порядка распределения прибыли в учредительных документах вкладчики имеют право на часть прибыли товарищества пропорционально их доле в имуществе и уставном капитале.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Совокупный размер долей вкладчиков в уставном капитале не может составлять более 99 процентов. При этом в учредительных документах коммандитного товарищества венчурных фондов может быть предусмотрена обязанность вкладчика по оплате вкладов (части вкладов) полных товарищей. Полные товарищи вносят свои вклады в размере от 1 процента до 5 процентов в соответствии с учредительными документами товарищества. Размер вкладов полных товарищей может составлять более 5 процентов в определенных учредительными документами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учредительных документах коммандитного товарищества венчурного фонда должно быть указано его фирменное наименование, которое должно содержать слова "коммандитное товарищество венчурного фонда".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делами коммандитного товарищества венчурных фондов осуществляется полными товарищами. Порядок управления и ведения дел коммандитного товарищества его полными товарищами устанавливается учредительными документами товарищества. Вкладчики не вправе участвовать в управлении делами коммандитного товарищества, а также выступать от его имени иначе как по доверенности. Вкладчики коммандитного товарищества не вправе каким-либо образом препятствовать действиям полных товарищей по управлению делами товариществом.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Вкладчик коммандитного товарищества венчурных фондов по окончании определенного учредительным договором срока вправе выйти из него, заявив о выходе из товарищества. В случае выхода вкладчика из коммандитного товарищества наступают последствия, предусмотренные учредительными документами товарищества.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Полные товарищи вправе требовать исключения одного или нескольких вкладчиков по единогласному решению всех полных товарищей в случае неполного внесения ими своих имущественных взносов в уставный капитал товарищества.".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ouaci1c-s1rb30zuu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(Ведомости Жогорку Кенеша Кыргызской Республики, 2000 г., № 1, ст.17)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</w:t>
      </w:r>
      <w:hyperlink w:history="1" r:id="rIdgozselq5wljozye3rs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правовой статус инвестиционных фондов и отдельные вопросы регулирования венчурных фондов.";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0y8yclttkpt-bn2b9m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"Понятие инвестиционного фонда и венчурного фонда";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Венчурным фондом в настоящем Законе признается объединение средств инвесторов, создаваемое путем привлечения и аккумулирования денежных средств и иного имущества квалифицированных инвесторов для последующего инвестирования в стартапы и инновационные компании.";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ovmxdazacitr5fozs5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euu-tm4a-plt5cydic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VI-2</w:t>
        </w:r>
      </w:hyperlink>
      <w:r>
        <w:rPr>
          <w:rFonts w:ascii="Arial" w:cs="Arial" w:eastAsia="Arial" w:hAnsi="Arial"/>
          <w:sz w:val="24"/>
          <w:szCs w:val="24"/>
        </w:rPr>
        <w:t xml:space="preserve">. ВЕНЧУРНЫЕ ФОНДЫ</w:t>
      </w:r>
    </w:p>
    <w:p>
      <w:pPr>
        <w:spacing w:after="120"/>
        <w:ind w:firstLine="567"/>
        <w:jc w:val="both"/>
      </w:pPr>
      <w:hyperlink w:history="1" r:id="rIdrfzgoofx8v6wuuaave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33-4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и организация деятельности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Венчурный фонд создается в соответствии с венчурным законодательством Кыргызской Республики на основе принципа свободы договора как с образованием, так и без образования юридического лица и начинает свою деятельность со дня заключения его участниками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венчурных фондов и порядок учетной регистрации венчурного фонда регулируются венчурным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1gyzvukb6q8jjmlob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 (газета "Эркин-Тоо" от 18 апреля 2023 года № 31)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xykfhdww38uzmetzrm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бизнес-ангел - физическое лицо,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nqhjrxre719agrql_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_mestdvywfks3m8pq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 (газета "Эркин-Тоо" от 26 июля 2024 года № 56)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xpezcsxmdnrig07obo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бизнес-ангел - физическое лицо,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 (3817)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otjdadzi54ax_n9hprv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июня 2026 года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ycpcoblgqmhs3eur7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dalil.kg/document/230050033</w:t>
      </w:r>
    </w:hyperlink>
  </w:p>
  <w:p>
    <w:pPr>
      <w:spacing w:after="0" w:before="40"/>
      <w:jc w:val="center"/>
    </w:pPr>
    <w:hyperlink w:history="1" r:id="rIdexsxqvnufo_i3vzc6-v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jezwypjiswr_tgncrc4" Type="http://schemas.openxmlformats.org/officeDocument/2006/relationships/hyperlink" Target="https://dalil.kg/document/4" TargetMode="External"/><Relationship Id="rIdh_cendrniyqbwthtnu5xi" Type="http://schemas.openxmlformats.org/officeDocument/2006/relationships/hyperlink" Target="https://dalil.kg/document/4#st_122" TargetMode="External"/><Relationship Id="rIdbw9srr7_f1svor62cel7z" Type="http://schemas.openxmlformats.org/officeDocument/2006/relationships/hyperlink" Target="https://dalil.kg/document/4#st_126_1" TargetMode="External"/><Relationship Id="rIdfmaqjren7imvn7ftnbb6j" Type="http://schemas.openxmlformats.org/officeDocument/2006/relationships/hyperlink" Target="https://dalil.kg/document/4#st_126_5" TargetMode="External"/><Relationship Id="rIdomrpfrfou3kl6d5mlpm30" Type="http://schemas.openxmlformats.org/officeDocument/2006/relationships/hyperlink" Target="https://dalil.kg/document/4#st_126_1" TargetMode="External"/><Relationship Id="rIdz_l0v1khhyqj3llqmw4dx" Type="http://schemas.openxmlformats.org/officeDocument/2006/relationships/hyperlink" Target="https://dalil.kg/document/4#st_126_2" TargetMode="External"/><Relationship Id="rIdoknalwrpwzwflbkrjnysu" Type="http://schemas.openxmlformats.org/officeDocument/2006/relationships/hyperlink" Target="https://dalil.kg/document/4#st_87" TargetMode="External"/><Relationship Id="rIdld8votojlpowl5w0qnzba" Type="http://schemas.openxmlformats.org/officeDocument/2006/relationships/hyperlink" Target="https://dalil.kg/document/4#st_126_3" TargetMode="External"/><Relationship Id="rId1l159zzkatabobf-xyt3i" Type="http://schemas.openxmlformats.org/officeDocument/2006/relationships/hyperlink" Target="https://dalil.kg/document/4#st_126_4" TargetMode="External"/><Relationship Id="rIdlldbxvx2ma4y17ay0rjja" Type="http://schemas.openxmlformats.org/officeDocument/2006/relationships/hyperlink" Target="https://dalil.kg/document/4#st_126_5" TargetMode="External"/><Relationship Id="rIdlglkbmws8uixwaep3hjiv" Type="http://schemas.openxmlformats.org/officeDocument/2006/relationships/hyperlink" Target="https://dalil.kg/document/5" TargetMode="External"/><Relationship Id="rIdpcfq1koasdqnkdydjwx8r" Type="http://schemas.openxmlformats.org/officeDocument/2006/relationships/hyperlink" Target="https://dalil.kg/document/5#st_724" TargetMode="External"/><Relationship Id="rIdpgtnjqiovkcopesc95z5f" Type="http://schemas.openxmlformats.org/officeDocument/2006/relationships/hyperlink" Target="https://dalil.kg/document/5#g34_2" TargetMode="External"/><Relationship Id="rIda_vppzx6tmazib__p3ehx" Type="http://schemas.openxmlformats.org/officeDocument/2006/relationships/hyperlink" Target="https://dalil.kg/document/5#g34_2" TargetMode="External"/><Relationship Id="rIdubo-3x1ucu60jx1dfje0r" Type="http://schemas.openxmlformats.org/officeDocument/2006/relationships/hyperlink" Target="https://dalil.kg/document/5#st_738_60" TargetMode="External"/><Relationship Id="rIdahsd1ldjhkoziqbxhsrth" Type="http://schemas.openxmlformats.org/officeDocument/2006/relationships/hyperlink" Target="https://dalil.kg/document/5#st_738_61" TargetMode="External"/><Relationship Id="rId72atd71e4box7shlwoy9e" Type="http://schemas.openxmlformats.org/officeDocument/2006/relationships/hyperlink" Target="https://dalil.kg/document/667" TargetMode="External"/><Relationship Id="rId6s5xcnzhynznwu0ozrl9k" Type="http://schemas.openxmlformats.org/officeDocument/2006/relationships/hyperlink" Target="https://dalil.kg/document/667#st_1" TargetMode="External"/><Relationship Id="rIdydy5irikg2h-4kuhpcmum" Type="http://schemas.openxmlformats.org/officeDocument/2006/relationships/hyperlink" Target="https://dalil.kg/document/667#st_3" TargetMode="External"/><Relationship Id="rId4dbqo-b0gtmvq9wieu4qx" Type="http://schemas.openxmlformats.org/officeDocument/2006/relationships/hyperlink" Target="https://dalil.kg/document/667#st_25" TargetMode="External"/><Relationship Id="rIdk0udgeumxyrpchozuctyh" Type="http://schemas.openxmlformats.org/officeDocument/2006/relationships/hyperlink" Target="https://dalil.kg/document/667#g2_1" TargetMode="External"/><Relationship Id="rIdakeot6emurh6hb7p6oju7" Type="http://schemas.openxmlformats.org/officeDocument/2006/relationships/hyperlink" Target="https://dalil.kg/document/667#g2_1" TargetMode="External"/><Relationship Id="rIdrfcp7ubjb2mo7ptechsyf" Type="http://schemas.openxmlformats.org/officeDocument/2006/relationships/hyperlink" Target="https://dalil.kg/document/667#g2_1" TargetMode="External"/><Relationship Id="rIdcnyrmdmebhopysrpa8tqb" Type="http://schemas.openxmlformats.org/officeDocument/2006/relationships/hyperlink" Target="https://dalil.kg/document/667#st_35_1" TargetMode="External"/><Relationship Id="rIdsouaci1c-s1rb30zuu_ne" Type="http://schemas.openxmlformats.org/officeDocument/2006/relationships/hyperlink" Target="https://dalil.kg/document/255" TargetMode="External"/><Relationship Id="rIdgozselq5wljozye3rsxlg" Type="http://schemas.openxmlformats.org/officeDocument/2006/relationships/hyperlink" Target="https://dalil.kg/document/255" TargetMode="External"/><Relationship Id="rIdk0y8yclttkpt-bn2b9mi0" Type="http://schemas.openxmlformats.org/officeDocument/2006/relationships/hyperlink" Target="https://dalil.kg/document/255" TargetMode="External"/><Relationship Id="rIdovmxdazacitr5fozs5jlj" Type="http://schemas.openxmlformats.org/officeDocument/2006/relationships/hyperlink" Target="https://dalil.kg/document/255#g6_2" TargetMode="External"/><Relationship Id="rIdweuu-tm4a-plt5cydicfn" Type="http://schemas.openxmlformats.org/officeDocument/2006/relationships/hyperlink" Target="https://dalil.kg/document/255#g6_2" TargetMode="External"/><Relationship Id="rIdrfzgoofx8v6wuuaaveqvc" Type="http://schemas.openxmlformats.org/officeDocument/2006/relationships/hyperlink" Target="https://dalil.kg/document/255#st_33_4" TargetMode="External"/><Relationship Id="rIde1gyzvukb6q8jjmlobijp" Type="http://schemas.openxmlformats.org/officeDocument/2006/relationships/hyperlink" Target="https://dalil.kg/document/112546" TargetMode="External"/><Relationship Id="rIdxykfhdww38uzmetzrmi_f" Type="http://schemas.openxmlformats.org/officeDocument/2006/relationships/hyperlink" Target="https://dalil.kg/document/112546#st_2" TargetMode="External"/><Relationship Id="rIdonqhjrxre719agrql_kx1" Type="http://schemas.openxmlformats.org/officeDocument/2006/relationships/hyperlink" Target="https://dalil.kg/document/112546#st_18" TargetMode="External"/><Relationship Id="rIdo_mestdvywfks3m8pqdyp" Type="http://schemas.openxmlformats.org/officeDocument/2006/relationships/hyperlink" Target="https://dalil.kg/document/230011107" TargetMode="External"/><Relationship Id="rIdxpezcsxmdnrig07obojbb" Type="http://schemas.openxmlformats.org/officeDocument/2006/relationships/hyperlink" Target="https://dalil.kg/document/230011107#st_4" TargetMode="External"/><Relationship Id="rIddotjdadzi54ax_n9hprva" Type="http://schemas.openxmlformats.org/officeDocument/2006/relationships/hyperlink" Target="https://dalil.kg/document/230047622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ycpcoblgqmhs3eur7p1" Type="http://schemas.openxmlformats.org/officeDocument/2006/relationships/hyperlink" Target="https://dalil.kg/document/230050033" TargetMode="External"/><Relationship Id="rIdexsxqvnufo_i3vzc6-v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2026-09-25T16:17:28.766Z</dcterms:created>
  <dcterms:modified xsi:type="dcterms:W3CDTF">2026-09-25T16:17:28.766Z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