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XXX </w:t>
      </w:r>
      <w:r>
        <w:rPr>
          <w:rFonts w:ascii="Arial" w:cs="Arial" w:eastAsia="Arial" w:hAnsi="Arial"/>
          <w:sz w:val="24"/>
          <w:szCs w:val="24"/>
        </w:rPr>
        <w:t xml:space="preserve">сессия ошского городского кенеша депутатов </w:t>
      </w:r>
      <w:r>
        <w:rPr>
          <w:rFonts w:ascii="Arial" w:cs="Arial" w:eastAsia="Arial" w:hAnsi="Arial"/>
          <w:sz w:val="24"/>
          <w:szCs w:val="24"/>
        </w:rPr>
        <w:t xml:space="preserve">(второй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октября 2011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депутатских полномочий депутата Ошского городского кенеша депутатов Орозбекова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 5 статьи 22, пункта 1 статьи 24 и пункта 7 статьи 31 </w:t>
      </w:r>
      <w:hyperlink w:history="1" r:id="rIdx5e-udpaewjmvzjxu1n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 связи с назначением Орозбекова Мухтара, избранного депутатом от №3 избирательного округа, заместителем министра образования и науки Кыргызской Республики и переменой его места жительства, Ошский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депутатские полномочия Орозбекова Мухтара.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Данное постановление зарегистрировать в установленном законом порядке (А-Алимбеков) и опубликовать в городской газете «Ош шамы»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исполнения данного постановления возложить на постоянную депутатскую комиссию Ошского городского Кенеша депутатов по вопросам законности, правопорядка, регламента, мандата и религии (Т.Жоробеков).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9p8w0cv05zielupep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dalil.kg/document/24736</w:t>
      </w:r>
    </w:hyperlink>
  </w:p>
  <w:p>
    <w:pPr>
      <w:spacing w:after="0" w:before="40"/>
      <w:jc w:val="center"/>
    </w:pPr>
    <w:hyperlink w:history="1" r:id="rIdikh9ldhiotubi-ti8ga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e-udpaewjmvzjxu1na2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9p8w0cv05zielupepze" Type="http://schemas.openxmlformats.org/officeDocument/2006/relationships/hyperlink" Target="https://dalil.kg/document/24736" TargetMode="External"/><Relationship Id="rIdikh9ldhiotubi-ti8ga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2026-10-07T10:03:00.630Z</dcterms:created>
  <dcterms:modified xsi:type="dcterms:W3CDTF">2026-10-07T10:03:00.630Z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