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ПАНФИЛОВСКИЙ РАЙОННЫ</w:t>
      </w:r>
      <w:r>
        <w:rPr>
          <w:rFonts w:ascii="Arial" w:cs="Arial" w:eastAsia="Arial" w:hAnsi="Arial"/>
          <w:sz w:val="24"/>
          <w:szCs w:val="24"/>
        </w:rPr>
        <w:t xml:space="preserve">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августа 2011 года № 68/</w:t>
      </w:r>
      <w:r>
        <w:rPr>
          <w:rFonts w:ascii="Arial" w:cs="Arial" w:eastAsia="Arial" w:hAnsi="Arial"/>
          <w:sz w:val="24"/>
          <w:szCs w:val="24"/>
        </w:rPr>
        <w:t xml:space="preserve">XX</w:t>
      </w:r>
      <w:r>
        <w:rPr>
          <w:rFonts w:ascii="Arial" w:cs="Arial" w:eastAsia="Arial" w:hAnsi="Arial"/>
          <w:sz w:val="24"/>
          <w:szCs w:val="24"/>
        </w:rPr>
        <w:t xml:space="preserve">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Регламент Панфиловского районного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информацию «О внесении изменений в Регламент Панфиловского районного Кенеша» и в соответствии с Законом Кыргызской Республики «О местном самоуправлении», сессия Панфиловского районного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4qaeadem-vofzm-fe2g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Регламент</w:t>
        </w:r>
      </w:hyperlink>
      <w:r>
        <w:rPr>
          <w:rFonts w:ascii="Arial" w:cs="Arial" w:eastAsia="Arial" w:hAnsi="Arial"/>
          <w:sz w:val="24"/>
          <w:szCs w:val="24"/>
        </w:rPr>
        <w:t xml:space="preserve"> Панфиловского районного Кенеша утвержденный постановлением №1 от 15 октября 2008 года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sz w:val="24"/>
          <w:szCs w:val="24"/>
        </w:rPr>
        <w:t xml:space="preserve">Пункт 2.1. главы 2 раздела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К компетенции Панфиловского районного Кенеша в соответствии со статьей 31, </w:t>
      </w:r>
      <w:hyperlink w:history="1" r:id="rId--bw9sbra_vxd9wckqyc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утверждение стратегий, прогнозов, плана и программы социально-экономического развития района, программы восстановления и охраны окружающей среды в районе и осуществление надзора за их выполнением;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утверждение районного бюджета и отчета о его исполнении, а также порядка использования специальных фондов;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вопросы использования невостребованных и неиспользованных пастбищ;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sz w:val="24"/>
          <w:szCs w:val="24"/>
        </w:rPr>
        <w:t xml:space="preserve">заслушивание не реже одного раза в год информации главы местной государственной администрации о положении дел на соответствующей территории;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sz w:val="24"/>
          <w:szCs w:val="24"/>
        </w:rPr>
        <w:t xml:space="preserve">внесение предложения по кандидатуре для назначения на должность главы местной государственной администрации - акима в порядке, установленном законом;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sz w:val="24"/>
          <w:szCs w:val="24"/>
        </w:rPr>
        <w:t xml:space="preserve">выражение недоверия главе местной государственной администрации за неисполнение или ненадлежащее исполнение им своих обязанностей двумя третями голосов от общего числа депутатов районного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sz w:val="24"/>
          <w:szCs w:val="24"/>
        </w:rPr>
        <w:t xml:space="preserve">досрочное прекращение полномочий депутатов в случаях, установленных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sz w:val="24"/>
          <w:szCs w:val="24"/>
        </w:rPr>
        <w:t xml:space="preserve">выработка предложений по административно-территориальному устройству с целью их внесения в соответствующие органы государственной власти;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избрание председателя кенеша и его заместителя, освобождение их от должности, отмена решений председателя кенеша, противоречащих законодательству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r>
        <w:rPr>
          <w:rFonts w:ascii="Arial" w:cs="Arial" w:eastAsia="Arial" w:hAnsi="Arial"/>
          <w:sz w:val="24"/>
          <w:szCs w:val="24"/>
        </w:rPr>
        <w:t xml:space="preserve">принятие регламента районного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</w:t>
      </w:r>
      <w:r>
        <w:rPr>
          <w:rFonts w:ascii="Arial" w:cs="Arial" w:eastAsia="Arial" w:hAnsi="Arial"/>
          <w:sz w:val="24"/>
          <w:szCs w:val="24"/>
        </w:rPr>
        <w:t xml:space="preserve">контроль за исполнением решений районного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</w:t>
      </w:r>
      <w:r>
        <w:rPr>
          <w:rFonts w:ascii="Arial" w:cs="Arial" w:eastAsia="Arial" w:hAnsi="Arial"/>
          <w:sz w:val="24"/>
          <w:szCs w:val="24"/>
        </w:rPr>
        <w:t xml:space="preserve">утверждение структуры и штатного расписания аппарата районного кенеша на основе типовых нормативов, определяемых Правительством;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внесение предложений по осуществлению проектных работ,строительству, содержанию и модернизации дорог, мостов, жилого фонда всоответствии с законом, а также других объектов в области коммунального хозяйства, экономики, социальной сферы и сферы развлечений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</w:t>
      </w:r>
      <w:r>
        <w:rPr>
          <w:rFonts w:ascii="Arial" w:cs="Arial" w:eastAsia="Arial" w:hAnsi="Arial"/>
          <w:sz w:val="24"/>
          <w:szCs w:val="24"/>
        </w:rPr>
        <w:t xml:space="preserve">согласование вопросов о создании, реорганизации и ликвидации социально-культурных учреждений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</w:t>
      </w:r>
      <w:r>
        <w:rPr>
          <w:rFonts w:ascii="Arial" w:cs="Arial" w:eastAsia="Arial" w:hAnsi="Arial"/>
          <w:sz w:val="24"/>
          <w:szCs w:val="24"/>
        </w:rPr>
        <w:t xml:space="preserve">принятие решения об организации и проведении научных, учебно-воспитательных, культурно-воспитательных, молодежно-спортивных мероприятий районного 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</w:t>
      </w:r>
      <w:r>
        <w:rPr>
          <w:rFonts w:ascii="Arial" w:cs="Arial" w:eastAsia="Arial" w:hAnsi="Arial"/>
          <w:sz w:val="24"/>
          <w:szCs w:val="24"/>
        </w:rPr>
        <w:t xml:space="preserve">принятие в соответствии с законом решения об объединении усилий с другими органами местного самоуправления, в том числе по вопросам трансграничного сотрудничества, в целях реализации общественно-полезных работ и услуг, продвижения и защиты интересов органов местного самоуправления, а также о сотрудничестве с отечественными и зарубежными хозяйствующими субъектами и общественными объединениями для осуществления мероприятий или выполнения работ, представляющих общий интерес;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</w:t>
      </w:r>
      <w:r>
        <w:rPr>
          <w:rFonts w:ascii="Arial" w:cs="Arial" w:eastAsia="Arial" w:hAnsi="Arial"/>
          <w:sz w:val="24"/>
          <w:szCs w:val="24"/>
        </w:rPr>
        <w:t xml:space="preserve">утверждение символики района;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осуществление контроля за деятельностью территориальных подразделений государственных органов власти, кроме судей, прокуроров, руководителей территориальных подразделений государственного органа национальной безопасности и органов государственной статистики Кыргызской Республики, а также иных учреждений, организаций, расположенных на подведомственной территории, а также внесение вопроса об отстранении от должности руководителей вышеуказанных органов в случае ненадлежащего исполнения ими своих обязанностей;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иные вопросы, предусмотренные нормативными 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Пункт 6.2. главы 6 раздела III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«6.2. Заседание местного кенеша правомочно при присутствии не менее половины от общего числа депутатов».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Пункт 9.1. главы 9 раздела Ш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«9.1. По вопросам своей компетенции Панфиловский районный Кенеш принимает решения, которые издаются в форме постановления и подписываются председателем Кенеша. Кенеш принимает решение большинством голосов от общего числа депутатов, если иное не предусмотрено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Регламент дополнить Разделом V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Процедура и порядок внесение предложения по кандидатуре для назначения на должность главы местной государственной администрации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15. Общее 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</w:t>
      </w:r>
      <w:r>
        <w:rPr>
          <w:rFonts w:ascii="Arial" w:cs="Arial" w:eastAsia="Arial" w:hAnsi="Arial"/>
          <w:sz w:val="24"/>
          <w:szCs w:val="24"/>
        </w:rPr>
        <w:t xml:space="preserve">Кандидатуры (не менее трех) на должность главы государственной администрации района -акима ( далее аким) вносятся Премьер -министром Кыргызской Республики в соответствующий районный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5.2. </w:t>
      </w:r>
      <w:r>
        <w:rPr>
          <w:rFonts w:ascii="Arial" w:cs="Arial" w:eastAsia="Arial" w:hAnsi="Arial"/>
          <w:sz w:val="24"/>
          <w:szCs w:val="24"/>
        </w:rPr>
        <w:t xml:space="preserve">Районный кенеш в течение 15 рабочих дней со дня внесения Премьер- министром кандидатур, путем тайного голосования принимает решение и вносит Премьер- министру предложение по кандидатуре для назначения на должность 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5.3. </w:t>
      </w:r>
      <w:r>
        <w:rPr>
          <w:rFonts w:ascii="Arial" w:cs="Arial" w:eastAsia="Arial" w:hAnsi="Arial"/>
          <w:sz w:val="24"/>
          <w:szCs w:val="24"/>
        </w:rPr>
        <w:t xml:space="preserve">В случае если до истечения вышеуказанного срока районный кенеш не сможет определиться по кандидатуре или не внесет соответствующее предложение по кандидатуре для назначения на должность акима, Премьер -министр представляет другие кандидатуры (не менее трех) в районный кенеш.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15.4. Одна и таже кандидатура не может вноситься Премьер-министром в соответствующий районный Кенеш два раза подряд.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15.5. Голосование по кандидатурам для назначения на должность акима считается состоявшимся если в нем участвовало не менее двух третей от общего числа депутатов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16. Представление кандидатур на должность акима района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16.1. </w:t>
      </w:r>
      <w:r>
        <w:rPr>
          <w:rFonts w:ascii="Arial" w:cs="Arial" w:eastAsia="Arial" w:hAnsi="Arial"/>
          <w:sz w:val="24"/>
          <w:szCs w:val="24"/>
        </w:rPr>
        <w:t xml:space="preserve">Кандидатуры на должность акима представляются районному кене-шу полномочным представителем Премьер-министра.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16.2. </w:t>
      </w:r>
      <w:r>
        <w:rPr>
          <w:rFonts w:ascii="Arial" w:cs="Arial" w:eastAsia="Arial" w:hAnsi="Arial"/>
          <w:sz w:val="24"/>
          <w:szCs w:val="24"/>
        </w:rPr>
        <w:t xml:space="preserve">По каждому из кандидатов в районный кенеш представляются следующие сведения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биографические данные (Ф.И.О., дата и место рождения, националь­ность, место получения среднего образования, семейноее положение, пос­тоянное место жительства, партийная принадлежность);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фотография, копия паспорта;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сведения об образовании (специальное, высшее), копии документов об образовании, наличии ученой степени и ученого звания;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сведения о трудовой деятельности, копии трудовой книжки, докумен­тов о награждении государственными и ведомственными наградами.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16.3. </w:t>
      </w:r>
      <w:r>
        <w:rPr>
          <w:rFonts w:ascii="Arial" w:cs="Arial" w:eastAsia="Arial" w:hAnsi="Arial"/>
          <w:sz w:val="24"/>
          <w:szCs w:val="24"/>
        </w:rPr>
        <w:t xml:space="preserve">По каждой из кандидатур оформляется официальное письмо за подписью Премьер-министра, с кратким изложением анкетных данных, характеристикой профессиональных и деловых качеств основаниями выдвижения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17. Организационные обеспечения процесса голосования по кандидатурам на должность акима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17.1. </w:t>
      </w:r>
      <w:r>
        <w:rPr>
          <w:rFonts w:ascii="Arial" w:cs="Arial" w:eastAsia="Arial" w:hAnsi="Arial"/>
          <w:sz w:val="24"/>
          <w:szCs w:val="24"/>
        </w:rPr>
        <w:t xml:space="preserve">Для организации процедуры рассмотрения районным кенешем кандидатур для назначения на должность акима, представленных Премьер-министром , решением районного кенеша образуется счетная комиссия из 3-5 депутатов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17.2. </w:t>
      </w:r>
      <w:r>
        <w:rPr>
          <w:rFonts w:ascii="Arial" w:cs="Arial" w:eastAsia="Arial" w:hAnsi="Arial"/>
          <w:sz w:val="24"/>
          <w:szCs w:val="24"/>
        </w:rPr>
        <w:t xml:space="preserve">Счетная комиссия устанавливает форму и текст бюллетеней для голосования, обеспечивает их хранения , организует ведение протоколов своих заседаний, осуществляет иные полномочия в соответствии снастоящим Порядком. Материально- техническое обеспечение деятельности Счетной комиссии осуществляет районная государственная администрация.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17.3. </w:t>
      </w:r>
      <w:r>
        <w:rPr>
          <w:rFonts w:ascii="Arial" w:cs="Arial" w:eastAsia="Arial" w:hAnsi="Arial"/>
          <w:sz w:val="24"/>
          <w:szCs w:val="24"/>
        </w:rPr>
        <w:t xml:space="preserve">Бюллетень для голосования включаются только кандидаты на должность акима, внесенные Премьер - министром.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17.4. </w:t>
      </w:r>
      <w:r>
        <w:rPr>
          <w:rFonts w:ascii="Arial" w:cs="Arial" w:eastAsia="Arial" w:hAnsi="Arial"/>
          <w:sz w:val="24"/>
          <w:szCs w:val="24"/>
        </w:rPr>
        <w:t xml:space="preserve">Рассмотрение и голосование по кандидатурам на должность акима осуществляется в специально отведенном помещении, определенным районным кенешем.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17.5. </w:t>
      </w:r>
      <w:r>
        <w:rPr>
          <w:rFonts w:ascii="Arial" w:cs="Arial" w:eastAsia="Arial" w:hAnsi="Arial"/>
          <w:sz w:val="24"/>
          <w:szCs w:val="24"/>
        </w:rPr>
        <w:t xml:space="preserve">Ответственность за явку депутатов, организацию голосования, оборудования помещения и подержания в нем необходимого порядка несет председатель районного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17.6. Ответственность за обеспечение процедуры голосования возлагается на Счетную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17.7. Счетная комиссия: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осуществляет регистрацию депутатов районного кенеша перед голо­сованием;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выдает бюллетени голосования зарегистрированным депутатам район­ного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осуществляет контроль за прохождением депутатов районного кене­ша с избирательными бюллетенями в кабины для тайного голосования и обеспечивает тайность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18. Порядок проведения итогов голосования по кандидатурам на должность 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18.1. Перед голосованием урна для бюллетеней проверяется, пломбируется опечатывается Счетной комиссией в присутствии депутатов районного кенеша и полномочного представителя Премьер - министра.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18.2. </w:t>
      </w:r>
      <w:r>
        <w:rPr>
          <w:rFonts w:ascii="Arial" w:cs="Arial" w:eastAsia="Arial" w:hAnsi="Arial"/>
          <w:sz w:val="24"/>
          <w:szCs w:val="24"/>
        </w:rPr>
        <w:t xml:space="preserve">Каждый депутат голосует лично. Голосование за других лиц не допускается.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18.3. </w:t>
      </w:r>
      <w:r>
        <w:rPr>
          <w:rFonts w:ascii="Arial" w:cs="Arial" w:eastAsia="Arial" w:hAnsi="Arial"/>
          <w:sz w:val="24"/>
          <w:szCs w:val="24"/>
        </w:rPr>
        <w:t xml:space="preserve">Бюллетени заполняются голосующим в кабине или комнате для тайного голосования .При заполнении голосующим бюллетеней запрещается присутствие любого постороннего лица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18.4. </w:t>
      </w:r>
      <w:r>
        <w:rPr>
          <w:rFonts w:ascii="Arial" w:cs="Arial" w:eastAsia="Arial" w:hAnsi="Arial"/>
          <w:sz w:val="24"/>
          <w:szCs w:val="24"/>
        </w:rPr>
        <w:t xml:space="preserve">Депутат в бюллетене для тайного голосования ставит отметку «за» напротив только одной фамилии того кандидата, за которого он голосует, либо к позиции «против всех кандидатов».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18.5. Недействительными считаются бюллетени неустановленной формы,а также бюллетени, в которых отметка «за»поставлена за две и более кандидатуры.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18.6. Кандидатура на должность акима района считается одобренной, если за нее проголосовало большинство от общего числа депутатов районного кенеша.По результатам тайного голосования составляется протокол счетной комиссии в двух экземплярах, подписываемый всеми членами счетной комиссии. Первый экземпляр протокола с решением районного кенеша направляется Премьер-министру, второй экземпляр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</w:t>
      </w:r>
      <w:r>
        <w:rPr>
          <w:rFonts w:ascii="Arial" w:cs="Arial" w:eastAsia="Arial" w:hAnsi="Arial"/>
          <w:sz w:val="24"/>
          <w:szCs w:val="24"/>
        </w:rPr>
        <w:t xml:space="preserve">хранится у ответственного секретаря районного кенеша, третий экземпляр в Национальное агентство Кыргызской Республики по делам местного самоуправления для внесения в единую базу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18.7. </w:t>
      </w:r>
      <w:r>
        <w:rPr>
          <w:rFonts w:ascii="Arial" w:cs="Arial" w:eastAsia="Arial" w:hAnsi="Arial"/>
          <w:sz w:val="24"/>
          <w:szCs w:val="24"/>
        </w:rPr>
        <w:t xml:space="preserve">На основании протокола счетной комиссии итоги тайного голосования утверждается решением сессии районного кенеша. Сессия кенеша своим решением утверждает протокол счетной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18.8. </w:t>
      </w:r>
      <w:r>
        <w:rPr>
          <w:rFonts w:ascii="Arial" w:cs="Arial" w:eastAsia="Arial" w:hAnsi="Arial"/>
          <w:sz w:val="24"/>
          <w:szCs w:val="24"/>
        </w:rPr>
        <w:t xml:space="preserve">Решение сессии кенеша об одобрении кандидатуры направляется Премьер-министру с предложением о назначении главы государст­венной администрации района - акима.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18.9. </w:t>
      </w:r>
      <w:r>
        <w:rPr>
          <w:rFonts w:ascii="Arial" w:cs="Arial" w:eastAsia="Arial" w:hAnsi="Arial"/>
          <w:sz w:val="24"/>
          <w:szCs w:val="24"/>
        </w:rPr>
        <w:t xml:space="preserve">В случае если по итогам голосования ни один из кандидатов не набрал большинство голосов от общего числа депутатов районного кенеша, проводиться второй тур голосования. Второй тур голосования проходит в тот же день, что и первый тур голосования.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18.10. </w:t>
      </w:r>
      <w:r>
        <w:rPr>
          <w:rFonts w:ascii="Arial" w:cs="Arial" w:eastAsia="Arial" w:hAnsi="Arial"/>
          <w:sz w:val="24"/>
          <w:szCs w:val="24"/>
        </w:rPr>
        <w:t xml:space="preserve">При втором туре голосования в бюллетени включаются два канди­дата, набравшие наибольшее количество голосов в первом туре. Подведение итогов голосования во втором туре проводиться в соответствии с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18.11. </w:t>
      </w:r>
      <w:r>
        <w:rPr>
          <w:rFonts w:ascii="Arial" w:cs="Arial" w:eastAsia="Arial" w:hAnsi="Arial"/>
          <w:sz w:val="24"/>
          <w:szCs w:val="24"/>
        </w:rPr>
        <w:t xml:space="preserve">В случае, если по итогам второго тура голосования ни один из кандидатов не набрал большинство голосов от общего числа депу­татов районного кенеша, кандидатуры надолжность акима района, внесенные Премьер-министром , считаются отклоненными, о чем председатель районного кенеша в течении 24 часов в письменной форме извещает Премьер-министра. В этом случае Премьер-министр представляет другие кандидатуры в порядке, установленном настоящим Порядком.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  Поручить аппарату районного Кенеша( Джуматаевой Д.М.) в установленном порядке опубликовать в средствах массовой информации
 данное постановление в изложении.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  Поручить аппарату районного Кенеша (Джуматаевой Д.М.) в соответствии с Законом № 241 от 20 июля 2009 года «О нормативных правовых актах Кыргызской Республики» зарегистрировать данное постановление. 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данного постановления возложить на председателя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Панфиловского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К.Нуркожоев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rbxferf0ycosvwmzgc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dalil.kg/document/24856</w:t>
      </w:r>
    </w:hyperlink>
  </w:p>
  <w:p>
    <w:pPr>
      <w:spacing w:after="0" w:before="40"/>
      <w:jc w:val="center"/>
    </w:pPr>
    <w:hyperlink w:history="1" r:id="rIdh6vejmkzdhq9dnofjape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4qaeadem-vofzm-fe2gw" Type="http://schemas.openxmlformats.org/officeDocument/2006/relationships/hyperlink" Target="https://dalil.kg/document/24857" TargetMode="External"/><Relationship Id="rId--bw9sbra_vxd9wckqycl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rbxferf0ycosvwmzgcnj" Type="http://schemas.openxmlformats.org/officeDocument/2006/relationships/hyperlink" Target="https://dalil.kg/document/24856" TargetMode="External"/><Relationship Id="rIdh6vejmkzdhq9dnofjape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2026-10-06T21:59:43.215Z</dcterms:created>
  <dcterms:modified xsi:type="dcterms:W3CDTF">2026-10-06T21:59:43.215Z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