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4tnpw2phfslsemo83ut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left"/>
      </w:pPr>
      <w:r>
        <w:rPr>
          <w:rFonts w:ascii="Arial" w:cs="Arial" w:eastAsia="Arial" w:hAnsi="Arial"/>
          <w:sz w:val="24"/>
          <w:szCs w:val="24"/>
        </w:rPr>
        <w:t xml:space="preserve">от 22 </w:t>
      </w:r>
      <w:r>
        <w:rPr>
          <w:rFonts w:ascii="Arial" w:cs="Arial" w:eastAsia="Arial" w:hAnsi="Arial"/>
          <w:sz w:val="24"/>
          <w:szCs w:val="24"/>
        </w:rPr>
        <w:t xml:space="preserve">июня </w:t>
      </w:r>
      <w:r>
        <w:rPr>
          <w:rFonts w:ascii="Arial" w:cs="Arial" w:eastAsia="Arial" w:hAnsi="Arial"/>
          <w:sz w:val="24"/>
          <w:szCs w:val="24"/>
        </w:rPr>
        <w:t xml:space="preserve">201</w:t>
      </w:r>
      <w:r>
        <w:rPr>
          <w:rFonts w:ascii="Arial" w:cs="Arial" w:eastAsia="Arial" w:hAnsi="Arial"/>
          <w:sz w:val="24"/>
          <w:szCs w:val="24"/>
        </w:rPr>
        <w:t xml:space="preserve">5</w:t>
      </w:r>
      <w:r>
        <w:rPr>
          <w:rFonts w:ascii="Arial" w:cs="Arial" w:eastAsia="Arial" w:hAnsi="Arial"/>
          <w:sz w:val="24"/>
          <w:szCs w:val="24"/>
        </w:rPr>
        <w:t xml:space="preserve"> года №</w:t>
      </w:r>
      <w:r>
        <w:rPr>
          <w:rFonts w:ascii="Arial" w:cs="Arial" w:eastAsia="Arial" w:hAnsi="Arial"/>
          <w:sz w:val="24"/>
          <w:szCs w:val="24"/>
        </w:rPr>
        <w:t xml:space="preserve"> 389</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дополнений и изменений в Закон Кыргызской Республики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Конституции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w:t>
      </w:r>
      <w:hyperlink w:history="1" r:id="rIda5vrtxnkh75lkk_r4lpp9">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Закон Кыргызской Республики «О залоге».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и изменений в Закон Кыргызской Республики «О залоге»</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залоге» (Ведомости Жогорку Кенеша Кыргызской Республики, 2005 г., № 6, ст. 377) следующие дополнения и изменения:</w:t>
      </w:r>
    </w:p>
    <w:p>
      <w:pPr>
        <w:spacing w:after="120"/>
        <w:jc w:val="both"/>
      </w:pPr>
      <w:r>
        <w:rPr>
          <w:rFonts w:ascii="Arial" w:cs="Arial" w:eastAsia="Arial" w:hAnsi="Arial"/>
          <w:sz w:val="24"/>
          <w:szCs w:val="24"/>
        </w:rPr>
        <w:t xml:space="preserve">1. Статью 3 дополнить абзацем четырнадцатым следующего содержания: «Ипотечная закладная - документарная ордерная ценная бумага, удостоверяющая права ее владельца на:</w:t>
      </w:r>
    </w:p>
    <w:p>
      <w:pPr>
        <w:spacing w:after="120"/>
        <w:jc w:val="both"/>
      </w:pPr>
      <w:r>
        <w:rPr>
          <w:rFonts w:ascii="Arial" w:cs="Arial" w:eastAsia="Arial" w:hAnsi="Arial"/>
          <w:sz w:val="24"/>
          <w:szCs w:val="24"/>
        </w:rPr>
        <w:t xml:space="preserve">- получение исполнения по денежному обязательству, обеспеченному ипотекой, без представления других доказательств существования этих обязательств;</w:t>
      </w:r>
    </w:p>
    <w:p>
      <w:pPr>
        <w:spacing w:after="120"/>
        <w:jc w:val="both"/>
      </w:pPr>
      <w:r>
        <w:rPr>
          <w:rFonts w:ascii="Arial" w:cs="Arial" w:eastAsia="Arial" w:hAnsi="Arial"/>
          <w:sz w:val="24"/>
          <w:szCs w:val="24"/>
        </w:rPr>
        <w:t xml:space="preserve">- получение удовлетворения обязательств, обеспеченных ипотекой, за счет имущества, обремененного ипотекой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Статью 11 дополнить пунктом 10 следующего содержания:</w:t>
      </w:r>
    </w:p>
    <w:p>
      <w:pPr>
        <w:spacing w:after="120"/>
        <w:jc w:val="both"/>
      </w:pPr>
      <w:r>
        <w:rPr>
          <w:rFonts w:ascii="Arial" w:cs="Arial" w:eastAsia="Arial" w:hAnsi="Arial"/>
          <w:sz w:val="24"/>
          <w:szCs w:val="24"/>
        </w:rPr>
        <w:t xml:space="preserve">«10. При выдаче ипотечной закладной последующий залог такого имущества ничтожен.».</w:t>
      </w:r>
    </w:p>
    <w:p>
      <w:pPr>
        <w:spacing w:after="120"/>
        <w:jc w:val="both"/>
      </w:pPr>
      <w:r>
        <w:rPr>
          <w:rFonts w:ascii="Arial" w:cs="Arial" w:eastAsia="Arial" w:hAnsi="Arial"/>
          <w:sz w:val="24"/>
          <w:szCs w:val="24"/>
        </w:rPr>
        <w:t xml:space="preserve">3. Статью 19 дополнить пунктом 5 следующего содержания:</w:t>
      </w:r>
    </w:p>
    <w:p>
      <w:pPr>
        <w:spacing w:after="120"/>
        <w:jc w:val="both"/>
      </w:pPr>
      <w:r>
        <w:rPr>
          <w:rFonts w:ascii="Arial" w:cs="Arial" w:eastAsia="Arial" w:hAnsi="Arial"/>
          <w:sz w:val="24"/>
          <w:szCs w:val="24"/>
        </w:rPr>
        <w:t xml:space="preserve">«5. Залогодержатель, владеющий ипотечной закладной, вправе передать её третьему лицу путём совершения индоссамента на ней. С передачей прав по ипотечной закладной к её новому владельцу переходят права залогодержателя и кредитора по обеспеченному ипотекой обязательству. Передача прав по ипотечной закладной подлежит государственной регистрации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 Статью 36 изложить в следующей редакции:</w:t>
      </w:r>
    </w:p>
    <w:p>
      <w:pPr>
        <w:spacing w:after="120"/>
        <w:jc w:val="both"/>
      </w:pPr>
      <w:r>
        <w:rPr>
          <w:rFonts w:ascii="Arial" w:cs="Arial" w:eastAsia="Arial" w:hAnsi="Arial"/>
          <w:sz w:val="24"/>
          <w:szCs w:val="24"/>
        </w:rPr>
        <w:t xml:space="preserve">«Статья 36. Основные положения об ипотечной закладной</w:t>
      </w:r>
    </w:p>
    <w:p>
      <w:pPr>
        <w:spacing w:after="120"/>
        <w:jc w:val="both"/>
      </w:pPr>
      <w:r>
        <w:rPr>
          <w:rFonts w:ascii="Arial" w:cs="Arial" w:eastAsia="Arial" w:hAnsi="Arial"/>
          <w:sz w:val="24"/>
          <w:szCs w:val="24"/>
        </w:rPr>
        <w:t xml:space="preserve">1. Права залогодержателя по обеспеченному ипотекой обязательству и по договору об ипотеке могут быть удостоверены ипотечной закладной.</w:t>
      </w:r>
    </w:p>
    <w:p>
      <w:pPr>
        <w:spacing w:after="120"/>
        <w:jc w:val="both"/>
      </w:pPr>
      <w:r>
        <w:rPr>
          <w:rFonts w:ascii="Arial" w:cs="Arial" w:eastAsia="Arial" w:hAnsi="Arial"/>
          <w:sz w:val="24"/>
          <w:szCs w:val="24"/>
        </w:rPr>
        <w:t xml:space="preserve">2. Ипотечная закладная составляется владельцем жилой недвижимости, приобретаемой им за счет ипотечного кредита. В иных случаях условия об ипотечной закладной в договоре об ипотеке недействительны.</w:t>
      </w:r>
    </w:p>
    <w:p>
      <w:pPr>
        <w:spacing w:after="120"/>
        <w:jc w:val="both"/>
      </w:pPr>
      <w:r>
        <w:rPr>
          <w:rFonts w:ascii="Arial" w:cs="Arial" w:eastAsia="Arial" w:hAnsi="Arial"/>
          <w:sz w:val="24"/>
          <w:szCs w:val="24"/>
        </w:rPr>
        <w:t xml:space="preserve">3. Ипотечная закладная может быть составлена залогодателем в любой момент до прекращения обеспеченного ипотекой обязательства. Права залогодержателя по ипотечной закладной подлежат государственной регистрации в порядке, установленном законодательством Кыргызской Республики. В случае, если ипотечная закладная не зарегистрирована в установленном порядке, она ничтожна.</w:t>
      </w:r>
    </w:p>
    <w:p>
      <w:pPr>
        <w:spacing w:after="120"/>
        <w:jc w:val="both"/>
      </w:pPr>
      <w:r>
        <w:rPr>
          <w:rFonts w:ascii="Arial" w:cs="Arial" w:eastAsia="Arial" w:hAnsi="Arial"/>
          <w:sz w:val="24"/>
          <w:szCs w:val="24"/>
        </w:rPr>
        <w:t xml:space="preserve">4. Лицо, составившее ипотечную закладную, либо её владелец вправе по взаимному соглашению изменить ранее установленные условия ипотечной закладной. При заключении такого соглашения в нем предусматривается либо внесение изменений в содержание ипотечной закладной путем прикрепления к ней оригинала такого соглашения, в котором указано, что оно является неотъемлемой частью ипотечной закладной, либо аннулирование ипотечной закладной и одновременно с этим выдача новой ипотечной закладной, составленной с учетом соответствующих изменений. Изменение содержания ипотечной закладной вступает в силу после государственной регистрации такого изменения.</w:t>
      </w:r>
    </w:p>
    <w:p>
      <w:pPr>
        <w:spacing w:after="120"/>
        <w:jc w:val="both"/>
      </w:pPr>
      <w:r>
        <w:rPr>
          <w:rFonts w:ascii="Arial" w:cs="Arial" w:eastAsia="Arial" w:hAnsi="Arial"/>
          <w:sz w:val="24"/>
          <w:szCs w:val="24"/>
        </w:rPr>
        <w:t xml:space="preserve">5. Владелец ипотечной закладной вправе передать её для учета лицензированному депозитарию. Правила депозитарного учета ипотечных закладных устанавливаются Правительством Кыргызской Республики.».</w:t>
      </w:r>
    </w:p>
    <w:p>
      <w:pPr>
        <w:spacing w:after="120"/>
        <w:jc w:val="both"/>
      </w:pPr>
      <w:r>
        <w:rPr>
          <w:rFonts w:ascii="Arial" w:cs="Arial" w:eastAsia="Arial" w:hAnsi="Arial"/>
          <w:sz w:val="24"/>
          <w:szCs w:val="24"/>
        </w:rPr>
        <w:t xml:space="preserve">5. Главу 4 дополнить статьями 361, Зб2 и 363 следующего содержания: «Статья 361. Содержание ипотечной закладной</w:t>
      </w:r>
    </w:p>
    <w:p>
      <w:pPr>
        <w:spacing w:after="120"/>
        <w:jc w:val="both"/>
      </w:pPr>
      <w:r>
        <w:rPr>
          <w:rFonts w:ascii="Arial" w:cs="Arial" w:eastAsia="Arial" w:hAnsi="Arial"/>
          <w:sz w:val="24"/>
          <w:szCs w:val="24"/>
        </w:rPr>
        <w:t xml:space="preserve">1. Ипотечная закладная должна содержать:</w:t>
      </w:r>
    </w:p>
    <w:p>
      <w:pPr>
        <w:spacing w:after="120"/>
        <w:jc w:val="both"/>
      </w:pPr>
      <w:r>
        <w:rPr>
          <w:rFonts w:ascii="Arial" w:cs="Arial" w:eastAsia="Arial" w:hAnsi="Arial"/>
          <w:sz w:val="24"/>
          <w:szCs w:val="24"/>
        </w:rPr>
        <w:t xml:space="preserve">1) слова «ипотечная закладная», включенные в название документа;</w:t>
      </w:r>
    </w:p>
    <w:p>
      <w:pPr>
        <w:spacing w:after="120"/>
        <w:jc w:val="both"/>
      </w:pPr>
      <w:r>
        <w:rPr>
          <w:rFonts w:ascii="Arial" w:cs="Arial" w:eastAsia="Arial" w:hAnsi="Arial"/>
          <w:sz w:val="24"/>
          <w:szCs w:val="24"/>
        </w:rPr>
        <w:t xml:space="preserve">2) имя залогодателя я должника по обеспеченному ипотекой обязательству, а также сведения о документе, удостоверяющем его личность;</w:t>
      </w:r>
    </w:p>
    <w:p>
      <w:pPr>
        <w:spacing w:after="120"/>
        <w:jc w:val="both"/>
      </w:pPr>
      <w:r>
        <w:rPr>
          <w:rFonts w:ascii="Arial" w:cs="Arial" w:eastAsia="Arial" w:hAnsi="Arial"/>
          <w:sz w:val="24"/>
          <w:szCs w:val="24"/>
        </w:rPr>
        <w:t xml:space="preserve">3) наименование первоначального залогодержателя (кредитора), сведения о его государственной регистрации в качестве юридического лица, а также сведения о дате и месте заключения договора залога и кредитного договора;</w:t>
      </w:r>
    </w:p>
    <w:p>
      <w:pPr>
        <w:spacing w:after="120"/>
        <w:jc w:val="both"/>
      </w:pPr>
      <w:r>
        <w:rPr>
          <w:rFonts w:ascii="Arial" w:cs="Arial" w:eastAsia="Arial" w:hAnsi="Arial"/>
          <w:sz w:val="24"/>
          <w:szCs w:val="24"/>
        </w:rPr>
        <w:t xml:space="preserve">4) указание суммы обязательства, обеспеченной ипотекой, и размера процентов, если они подлежат уплате по этому обязательству, либо условий, позволяющих в надлежащий момент определить эти сумму и проценты;</w:t>
      </w:r>
    </w:p>
    <w:p>
      <w:pPr>
        <w:spacing w:after="120"/>
        <w:jc w:val="both"/>
      </w:pPr>
      <w:r>
        <w:rPr>
          <w:rFonts w:ascii="Arial" w:cs="Arial" w:eastAsia="Arial" w:hAnsi="Arial"/>
          <w:sz w:val="24"/>
          <w:szCs w:val="24"/>
        </w:rPr>
        <w:t xml:space="preserve">5) указание срока уплаты суммы обязательства, обеспеченного ипотекой, и процентов по ней, а если эти суммы подлежат уплате по частям ■■ сроков (периодичности) соответствующих платежей и размера каждого из них либо условий, позволяющих определить эти сроют и размеры платежей (график погашения обязательства);</w:t>
      </w:r>
    </w:p>
    <w:p>
      <w:pPr>
        <w:spacing w:after="120"/>
        <w:jc w:val="both"/>
      </w:pPr>
      <w:r>
        <w:rPr>
          <w:rFonts w:ascii="Arial" w:cs="Arial" w:eastAsia="Arial" w:hAnsi="Arial"/>
          <w:sz w:val="24"/>
          <w:szCs w:val="24"/>
        </w:rPr>
        <w:t xml:space="preserve">6) название и достаточное для его идентификации описание имущества, на которое установлена ипотека, а также указание места нахождения такого имущества;</w:t>
      </w:r>
    </w:p>
    <w:p>
      <w:pPr>
        <w:spacing w:after="120"/>
        <w:jc w:val="both"/>
      </w:pPr>
      <w:r>
        <w:rPr>
          <w:rFonts w:ascii="Arial" w:cs="Arial" w:eastAsia="Arial" w:hAnsi="Arial"/>
          <w:sz w:val="24"/>
          <w:szCs w:val="24"/>
        </w:rPr>
        <w:t xml:space="preserve">7) подтвержденную закшочением независимого оценщика денежную оценку имущества, на которое установлена ипотека;</w:t>
      </w:r>
    </w:p>
    <w:p>
      <w:pPr>
        <w:spacing w:after="120"/>
        <w:jc w:val="both"/>
      </w:pPr>
      <w:r>
        <w:rPr>
          <w:rFonts w:ascii="Arial" w:cs="Arial" w:eastAsia="Arial" w:hAnsi="Arial"/>
          <w:sz w:val="24"/>
          <w:szCs w:val="24"/>
        </w:rPr>
        <w:t xml:space="preserve">8) сведения о правоустанавливающем документе, в силу которого имущество, являющееся предметом ипотеки, принадлежит залогодателю, и наименование органа, зарегистрировавшего это право, с указанием номера, даты и места государственной регистрации;</w:t>
      </w:r>
    </w:p>
    <w:p>
      <w:pPr>
        <w:spacing w:after="120"/>
        <w:jc w:val="both"/>
      </w:pPr>
      <w:r>
        <w:rPr>
          <w:rFonts w:ascii="Arial" w:cs="Arial" w:eastAsia="Arial" w:hAnsi="Arial"/>
          <w:sz w:val="24"/>
          <w:szCs w:val="24"/>
        </w:rPr>
        <w:t xml:space="preserve">9) указание на то, что имущество, являющееся предметом ипотеки, находится в собственности залогодателя и не обременено никакими правами, третьих лиц на момент государственной регистрации ипотеки;</w:t>
      </w:r>
    </w:p>
    <w:p>
      <w:pPr>
        <w:spacing w:after="120"/>
        <w:jc w:val="both"/>
      </w:pPr>
      <w:r>
        <w:rPr>
          <w:rFonts w:ascii="Arial" w:cs="Arial" w:eastAsia="Arial" w:hAnsi="Arial"/>
          <w:sz w:val="24"/>
          <w:szCs w:val="24"/>
        </w:rPr>
        <w:t xml:space="preserve">10) нотариально заверенную подпись залогодателя;</w:t>
      </w:r>
    </w:p>
    <w:p>
      <w:pPr>
        <w:spacing w:after="120"/>
        <w:jc w:val="both"/>
      </w:pPr>
      <w:r>
        <w:rPr>
          <w:rFonts w:ascii="Arial" w:cs="Arial" w:eastAsia="Arial" w:hAnsi="Arial"/>
          <w:sz w:val="24"/>
          <w:szCs w:val="24"/>
        </w:rPr>
        <w:t xml:space="preserve">И) сведения о государственной регистрации ипотеки и отметку о государственной регистрации ипотечной закладной;</w:t>
      </w:r>
    </w:p>
    <w:p>
      <w:pPr>
        <w:spacing w:after="120"/>
        <w:jc w:val="both"/>
      </w:pPr>
      <w:r>
        <w:rPr>
          <w:rFonts w:ascii="Arial" w:cs="Arial" w:eastAsia="Arial" w:hAnsi="Arial"/>
          <w:sz w:val="24"/>
          <w:szCs w:val="24"/>
        </w:rPr>
        <w:t xml:space="preserve">12) указание даты и места составления ипотечной закладной.</w:t>
      </w:r>
    </w:p>
    <w:p>
      <w:pPr>
        <w:spacing w:after="120"/>
        <w:jc w:val="both"/>
      </w:pPr>
      <w:r>
        <w:rPr>
          <w:rFonts w:ascii="Arial" w:cs="Arial" w:eastAsia="Arial" w:hAnsi="Arial"/>
          <w:sz w:val="24"/>
          <w:szCs w:val="24"/>
        </w:rPr>
        <w:t xml:space="preserve">2. Документ, названный «ипотечная закладная», в котором отсутствуют' данные, указанные в подпунктах 1-12 пункта 1 настоящей статьи, не является ипотечной закладной и не подлежит выдаче первоначальному залогодержателю.</w:t>
      </w:r>
    </w:p>
    <w:p>
      <w:pPr>
        <w:spacing w:after="120"/>
        <w:jc w:val="both"/>
      </w:pPr>
      <w:r>
        <w:rPr>
          <w:rFonts w:ascii="Arial" w:cs="Arial" w:eastAsia="Arial" w:hAnsi="Arial"/>
          <w:sz w:val="24"/>
          <w:szCs w:val="24"/>
        </w:rPr>
        <w:t xml:space="preserve">3. При составлении ипотечной закладной в нее могут быть включены также данные и условия, не предусмотренные пунктом 1 настоящей статьи.</w:t>
      </w:r>
    </w:p>
    <w:p>
      <w:pPr>
        <w:spacing w:after="120"/>
        <w:jc w:val="both"/>
      </w:pPr>
      <w:r>
        <w:rPr>
          <w:rFonts w:ascii="Arial" w:cs="Arial" w:eastAsia="Arial" w:hAnsi="Arial"/>
          <w:sz w:val="24"/>
          <w:szCs w:val="24"/>
        </w:rPr>
        <w:t xml:space="preserve">4. В случае, если стороны предусмотрели в договоре об ипотеке или в договоре, влекущем за собой возникновение ипотеки в силу закона, условие о возможности обращения взыскания на заложенное имущество во внесудебном порядке, данное условие должно быть включено в ипотечную закладную.</w:t>
      </w:r>
    </w:p>
    <w:p>
      <w:pPr>
        <w:spacing w:after="120"/>
        <w:jc w:val="both"/>
      </w:pPr>
      <w:r>
        <w:rPr>
          <w:rFonts w:ascii="Arial" w:cs="Arial" w:eastAsia="Arial" w:hAnsi="Arial"/>
          <w:sz w:val="24"/>
          <w:szCs w:val="24"/>
        </w:rPr>
        <w:t xml:space="preserve">5. В случае, если стороны предусмотрели в договоре об ипотеке или в договоре, влекущем за собой возникновение ипотеки в силу закона, способы и порядок реализации заложенного имущества при обращении взыскания на предмет ипотеки по решению суда, соответствующие положения должны быть включены в ипотечную закладную.</w:t>
      </w:r>
    </w:p>
    <w:p>
      <w:pPr>
        <w:spacing w:after="120"/>
        <w:jc w:val="both"/>
      </w:pPr>
      <w:r>
        <w:rPr>
          <w:rFonts w:ascii="Arial" w:cs="Arial" w:eastAsia="Arial" w:hAnsi="Arial"/>
          <w:sz w:val="24"/>
          <w:szCs w:val="24"/>
        </w:rPr>
        <w:t xml:space="preserve">6. При недостаточности на самой ипотечной закладной места для передаточных надписей, в том числе для отметок о её новых владельцах либо иных записей к ней прикрепляется добавочный лист. Все листы ипотечной закладной составляют единое целое. Они должны быть пронумерованы, прикреплены один к другому, заверены подписью должностного лица и скреплены печатью органа, осуществляющего государственную регистрацию прав на недвижимое имущество. Отдельные листы ипотечной закладной не могут быть предметом сделок.</w:t>
      </w:r>
    </w:p>
    <w:p>
      <w:pPr>
        <w:spacing w:after="120"/>
        <w:jc w:val="both"/>
      </w:pPr>
      <w:r>
        <w:rPr>
          <w:rFonts w:ascii="Arial" w:cs="Arial" w:eastAsia="Arial" w:hAnsi="Arial"/>
          <w:sz w:val="24"/>
          <w:szCs w:val="24"/>
        </w:rPr>
        <w:t xml:space="preserve">7. При несоответствии ипотечной закладной договору об ипотеке или договору, обязательство из которого обеспечено ипотекой, верным считается содержание ипотечной закладной, за исключением случая, если ее приобретатель в момент совершения сделки знал или должен был знать о таком несоответствии.</w:t>
      </w:r>
    </w:p>
    <w:p>
      <w:pPr>
        <w:spacing w:after="120"/>
        <w:jc w:val="both"/>
      </w:pPr>
      <w:r>
        <w:rPr>
          <w:rFonts w:ascii="Arial" w:cs="Arial" w:eastAsia="Arial" w:hAnsi="Arial"/>
          <w:sz w:val="24"/>
          <w:szCs w:val="24"/>
        </w:rPr>
        <w:t xml:space="preserve">Составитель ипотечной закладной обязан по требованию её владельца устранить указанные несоответствия путем её аннулирования и одновременной выдачи новой ипотечной закладной, если требование было заявлено немедленно после того, как владельцу ипотечной закладной стало известно о таком несоответствии.</w:t>
      </w:r>
    </w:p>
    <w:p>
      <w:pPr>
        <w:spacing w:after="120"/>
        <w:jc w:val="both"/>
      </w:pPr>
      <w:r>
        <w:rPr>
          <w:rFonts w:ascii="Arial" w:cs="Arial" w:eastAsia="Arial" w:hAnsi="Arial"/>
          <w:sz w:val="24"/>
          <w:szCs w:val="24"/>
        </w:rPr>
        <w:t xml:space="preserve">Составитель ипотечной закладной несет ответственность за убытки, возникшие в связи с указанным несоответствием и его устранением.</w:t>
      </w:r>
    </w:p>
    <w:p>
      <w:pPr>
        <w:spacing w:after="120"/>
        <w:jc w:val="both"/>
      </w:pPr>
      <w:r>
        <w:rPr>
          <w:rFonts w:ascii="Arial" w:cs="Arial" w:eastAsia="Arial" w:hAnsi="Arial"/>
          <w:sz w:val="24"/>
          <w:szCs w:val="24"/>
        </w:rPr>
        <w:t xml:space="preserve">6. К ипотечной закладной могут быть приложены документы, определяющие условия ипотеки или необходимые для осуществления залогодержателем своих прав по ипотечной закладной. При передаче ипотечной закладной новому владельцу вместе с ней передаются все приложенные к ней документы. .</w:t>
      </w:r>
    </w:p>
    <w:p>
      <w:pPr>
        <w:spacing w:after="120"/>
        <w:jc w:val="both"/>
      </w:pPr>
      <w:r>
        <w:rPr>
          <w:rFonts w:ascii="Arial" w:cs="Arial" w:eastAsia="Arial" w:hAnsi="Arial"/>
          <w:sz w:val="24"/>
          <w:szCs w:val="24"/>
        </w:rPr>
        <w:t xml:space="preserve">Статья 36². Осуществление прав но ипотечной закладной и исполнение обеспеченного ипотекой обязательства</w:t>
      </w:r>
    </w:p>
    <w:p>
      <w:pPr>
        <w:spacing w:after="120"/>
        <w:jc w:val="both"/>
      </w:pPr>
      <w:r>
        <w:rPr>
          <w:rFonts w:ascii="Arial" w:cs="Arial" w:eastAsia="Arial" w:hAnsi="Arial"/>
          <w:sz w:val="24"/>
          <w:szCs w:val="24"/>
        </w:rPr>
        <w:t xml:space="preserve">1. При осуществлении своих прав по ипотечной закладной её владелец обязан предъявить ипотечную закладную обязанному по ней лицу по его требованию. Владелец ипотечной закладной вправе не предъявлять её в случае, если ипотечная закладная передана на учет в депозитарий. В случае, если осуществляется депозитарный учет ипотечной закладной, должник вправе потребовать от её владельца в подтверждение его прав выписку депозитария, заверенную подписью уполномоченного лица и печатью депозитария.</w:t>
      </w:r>
    </w:p>
    <w:p>
      <w:pPr>
        <w:spacing w:after="120"/>
        <w:jc w:val="both"/>
      </w:pPr>
      <w:r>
        <w:rPr>
          <w:rFonts w:ascii="Arial" w:cs="Arial" w:eastAsia="Arial" w:hAnsi="Arial"/>
          <w:sz w:val="24"/>
          <w:szCs w:val="24"/>
        </w:rPr>
        <w:t xml:space="preserve">2. Залогодержатель по исполнении обеспеченного ипотекой обязательства полностью обязан незамедлительно передать ипотечную закладную залогодатешо с отметкой об исполнении обязательства в полном объеме, а в случаях, когда обязательство исполняется по частям, - удостоверить его частичное исполнение способом, достаточным для залогодателя и очевидным для возможных последующих владельцев ипотечной закладной, в том числе 'приложением соответствующих финансовых документов или совершением на ней записи о частичном исполнении обязательства.</w:t>
      </w:r>
    </w:p>
    <w:p>
      <w:pPr>
        <w:spacing w:after="120"/>
        <w:jc w:val="both"/>
      </w:pPr>
      <w:r>
        <w:rPr>
          <w:rFonts w:ascii="Arial" w:cs="Arial" w:eastAsia="Arial" w:hAnsi="Arial"/>
          <w:sz w:val="24"/>
          <w:szCs w:val="24"/>
        </w:rPr>
        <w:t xml:space="preserve">3. Нахождение ипотечной закладной у залогодержателя либо отсутствие на ней отметки или удостоверения иным, образом частичного исполнения обеспеченного ипотекой обязательства свидетельствует, если не доказано иное, что это обязательство или соответственно его часть не исполнены. Обязанность по доказыванию неисполнения должником обязательства в таком случае возлагается на кредитора в соответствии с гражданским законодательством.</w:t>
      </w:r>
    </w:p>
    <w:p>
      <w:pPr>
        <w:spacing w:after="120"/>
        <w:jc w:val="both"/>
      </w:pPr>
      <w:r>
        <w:rPr>
          <w:rFonts w:ascii="Arial" w:cs="Arial" w:eastAsia="Arial" w:hAnsi="Arial"/>
          <w:sz w:val="24"/>
          <w:szCs w:val="24"/>
        </w:rPr>
        <w:t xml:space="preserve">4. Должник по обеспеченному ипотекой обязательству погашает свой долг полностью или в части, надлежащим исполнением своих обязанностей по ипотечной закладной в соответствии с графиком погашения обязательства ее владельцу или лицу, письменно уполномоченному владельцем ипотечной закладной на осуществление прав по ней</w:t>
      </w:r>
    </w:p>
    <w:p>
      <w:pPr>
        <w:spacing w:after="120"/>
        <w:jc w:val="both"/>
      </w:pPr>
      <w:r>
        <w:rPr>
          <w:rFonts w:ascii="Arial" w:cs="Arial" w:eastAsia="Arial" w:hAnsi="Arial"/>
          <w:sz w:val="24"/>
          <w:szCs w:val="24"/>
        </w:rPr>
        <w:t xml:space="preserve">6. Обязанное по ипотечной закладной лицо вправе отказать предъявителю ипотечной закладной в осуществлении им прав по ипотечной закладной в случаях, если судом, принят к рассмотрению иск о признании недействительной передачи прав по данной ипотечной закладной либо о применении последствий недействительности этой сделки, либо о недействительности самой ипотечной закладной.</w:t>
      </w:r>
    </w:p>
    <w:p>
      <w:pPr>
        <w:spacing w:after="120"/>
        <w:jc w:val="both"/>
      </w:pPr>
      <w:r>
        <w:rPr>
          <w:rFonts w:ascii="Arial" w:cs="Arial" w:eastAsia="Arial" w:hAnsi="Arial"/>
          <w:sz w:val="24"/>
          <w:szCs w:val="24"/>
        </w:rPr>
        <w:t xml:space="preserve">Обязанное по ипотечной закладной лицо не вправе приводить против требований её законного владельца об осуществлении прав по ней никаких возражений, не основанных на ипотечной закладной.</w:t>
      </w:r>
    </w:p>
    <w:p>
      <w:pPr>
        <w:spacing w:after="120"/>
        <w:jc w:val="both"/>
      </w:pPr>
      <w:r>
        <w:rPr>
          <w:rFonts w:ascii="Arial" w:cs="Arial" w:eastAsia="Arial" w:hAnsi="Arial"/>
          <w:sz w:val="24"/>
          <w:szCs w:val="24"/>
        </w:rPr>
        <w:t xml:space="preserve">7. Нахождение ипотечной закладной обязанного по ней у лица или в органе, осуществляющем государственную регистрацию прав- на недвижимое имущество, свидетельствует, если иное не установлено настоящим Законом, что обеспеченное ипотекой обязательство исполнено. Лицо, в обладании которого окажется ипотечная закладная, обязано незамедлительно уведомить об этом других лиц из числа вышеуказанных.</w:t>
      </w:r>
    </w:p>
    <w:p>
      <w:pPr>
        <w:spacing w:after="120" w:before="240"/>
        <w:jc w:val="both"/>
      </w:pPr>
      <w:r>
        <w:rPr>
          <w:rFonts w:ascii="Arial" w:cs="Arial" w:eastAsia="Arial" w:hAnsi="Arial"/>
          <w:sz w:val="24"/>
          <w:szCs w:val="24"/>
        </w:rPr>
        <w:t xml:space="preserve">В случаях, когда в соответствии с настоящим Законом ипотечная закладная аннулируется, орган, осуществляющий государственную регистрацию прав на недвижимое имущество, незамедлительно по получении им ипотечной закладной аннулирует путем простановки на лицевой стороне соответствующей надписи с подписью уполномоченного лица и печати такого органа, при этом физическое уничтожение ипотечной закладной запрещается.</w:t>
      </w:r>
    </w:p>
    <w:p>
      <w:pPr>
        <w:spacing w:after="120" w:before="240"/>
        <w:jc w:val="both"/>
      </w:pPr>
      <w:r>
        <w:rPr>
          <w:rFonts w:ascii="Arial" w:cs="Arial" w:eastAsia="Arial" w:hAnsi="Arial"/>
          <w:sz w:val="24"/>
          <w:szCs w:val="24"/>
        </w:rPr>
        <w:t xml:space="preserve">Статья 36³. Восстановление прав на утраченную ипотечную закладную</w:t>
      </w:r>
    </w:p>
    <w:p>
      <w:pPr>
        <w:spacing w:after="120"/>
        <w:jc w:val="both"/>
      </w:pPr>
      <w:r>
        <w:rPr>
          <w:rFonts w:ascii="Arial" w:cs="Arial" w:eastAsia="Arial" w:hAnsi="Arial"/>
          <w:sz w:val="24"/>
          <w:szCs w:val="24"/>
        </w:rPr>
        <w:t xml:space="preserve">1. Восстановление прав на утраченную ипотечную закладную производится залогодателем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Восстановление прав на утраченную ипотечную закладную, по которой осуществляется депозитарный учет, производится на основании выдаваемой соответствующим депозитарием справки о последнем владельце, с указанием факта утраты данной закладной, при этом лицом, утратившим ипотечную закладную, признается лицо, которое является её владельцем согласно записям по счетам депо.</w:t>
      </w:r>
    </w:p>
    <w:p>
      <w:pPr>
        <w:spacing w:after="120"/>
        <w:jc w:val="both"/>
      </w:pPr>
      <w:r>
        <w:rPr>
          <w:rFonts w:ascii="Arial" w:cs="Arial" w:eastAsia="Arial" w:hAnsi="Arial"/>
          <w:sz w:val="24"/>
          <w:szCs w:val="24"/>
        </w:rPr>
        <w:t xml:space="preserve">3. Залогодатель после получения решения суда о признании недействительной утраченной ипотечной закладной составленной им, в течение 3-х дней обязан составить дубликат этой ипотечной закладной с отметкой на нем «дубликат» и передать его в орган, осуществляющий государственную регистрацию прав на недвижимое имуществом.</w:t>
      </w:r>
    </w:p>
    <w:p>
      <w:pPr>
        <w:spacing w:after="120"/>
        <w:jc w:val="both"/>
      </w:pPr>
      <w:r>
        <w:rPr>
          <w:rFonts w:ascii="Arial" w:cs="Arial" w:eastAsia="Arial" w:hAnsi="Arial"/>
          <w:sz w:val="24"/>
          <w:szCs w:val="24"/>
        </w:rPr>
        <w:t xml:space="preserve">4. Дубликат ипотечной закладной после государственной регистрации вручается лицу, её утратившему, органом, осуществляющим государственную регистрацию прав на недвижимое имущество.».</w:t>
      </w:r>
    </w:p>
    <w:p>
      <w:pPr>
        <w:spacing w:after="120"/>
        <w:jc w:val="both"/>
      </w:pPr>
      <w:r>
        <w:rPr>
          <w:rFonts w:ascii="Arial" w:cs="Arial" w:eastAsia="Arial" w:hAnsi="Arial"/>
          <w:sz w:val="24"/>
          <w:szCs w:val="24"/>
        </w:rPr>
        <w:t xml:space="preserve">6. Статью 63 дополнить абзацем восьмым следующего содержания:</w:t>
      </w:r>
    </w:p>
    <w:p>
      <w:pPr>
        <w:spacing w:after="120"/>
        <w:jc w:val="both"/>
      </w:pPr>
      <w:r>
        <w:rPr>
          <w:rFonts w:ascii="Arial" w:cs="Arial" w:eastAsia="Arial" w:hAnsi="Arial"/>
          <w:sz w:val="24"/>
          <w:szCs w:val="24"/>
        </w:rPr>
        <w:t xml:space="preserve">«Если объектом залога выступает жилой дом или квартира, приобретенная в порядке, установленном статьей 42 настоящего Закона, суд по требованию истца, в дополнение к указанным вопросам, разрешает вопрос о выселении из указанного объекта недвижимости залогодателя и проживающих с ним членов его семьи, а также любых третьих лиц.».</w:t>
      </w:r>
    </w:p>
    <w:p>
      <w:pPr>
        <w:spacing w:after="120"/>
        <w:jc w:val="both"/>
      </w:pPr>
      <w:r>
        <w:rPr>
          <w:rFonts w:ascii="Arial" w:cs="Arial" w:eastAsia="Arial" w:hAnsi="Arial"/>
          <w:sz w:val="24"/>
          <w:szCs w:val="24"/>
        </w:rPr>
        <w:t xml:space="preserve">Абзац третий статьи 65 после слов «принадлежащее на нраве собственности физическому лицу» дополнить словами «и такое жилье не приобретено им в порядке, установленном статьей 42¹ настоящего Закона».</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rtzb5zjk7ove2-1vnzzf">
      <w:r>
        <w:rPr>
          <w:rFonts w:ascii="Arial" w:cs="Arial" w:eastAsia="Arial" w:hAnsi="Arial"/>
          <w:color w:val="132D3F"/>
          <w:sz w:val="16"/>
          <w:szCs w:val="16"/>
          <w:u w:val="single"/>
        </w:rPr>
        <w:t xml:space="preserve">dalil.kg/document/250445</w:t>
      </w:r>
    </w:hyperlink>
  </w:p>
  <w:p>
    <w:pPr>
      <w:spacing w:after="0" w:before="40"/>
      <w:jc w:val="center"/>
    </w:pPr>
    <w:hyperlink w:history="1" r:id="rId7qir1_w9kvah5n3pikse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4tnpw2phfslsemo83utw" Type="http://schemas.openxmlformats.org/officeDocument/2006/relationships/hyperlink" Target="https://dalil.kg/document/159126" TargetMode="External"/><Relationship Id="rIda5vrtxnkh75lkk_r4lpp9" Type="http://schemas.openxmlformats.org/officeDocument/2006/relationships/hyperlink" Target="https://dalil.kg/document/250445#&#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rtzb5zjk7ove2-1vnzzf" Type="http://schemas.openxmlformats.org/officeDocument/2006/relationships/hyperlink" Target="https://dalil.kg/document/250445" TargetMode="External"/><Relationship Id="rId7qir1_w9kvah5n3pikse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2026-09-23T19:18:28.821Z</dcterms:created>
  <dcterms:modified xsi:type="dcterms:W3CDTF">2026-09-23T19:18:28.821Z</dcterms:modified>
</cp:coreProperties>
</file>

<file path=docProps/custom.xml><?xml version="1.0" encoding="utf-8"?>
<Properties xmlns="http://schemas.openxmlformats.org/officeDocument/2006/custom-properties" xmlns:vt="http://schemas.openxmlformats.org/officeDocument/2006/docPropsVTypes"/>
</file>