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Кара-Кочкор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обеспечения чистой водой жителей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задачи организационной работы комитета по обеспечению чистой водой населения и на основание 4.пункта 18-статьи </w:t>
      </w:r>
      <w:hyperlink w:history="1" r:id="rIdafqluh21trz5utu-ny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 Кыргызской Республики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местном самоуправлении и местной государственной админстрации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”</w:t>
        </w:r>
      </w:hyperlink>
      <w:r>
        <w:rPr>
          <w:rFonts w:ascii="Arial" w:cs="Arial" w:eastAsia="Arial" w:hAnsi="Arial"/>
          <w:sz w:val="24"/>
          <w:szCs w:val="24"/>
        </w:rPr>
        <w:t xml:space="preserve">. Кенеша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Отметит, что организационные работы по обеспечению чистой водой населения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льного округа проводятся руководителями водных комитетов не на уровне нынешного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водных комитетов А.Пачаров Х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Ибраимов. Т.Жарашбаев и главы селской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-поднять уровень обеспечения населения чистой водой свои временно удовлитворить предложения и требования простого слоя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информировать каждый квартал на каждой сессии Кенеша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лного округа об обеспечение чистой водой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-вожложить им выполнение работы по обеспечению населения чистой водой проводить соответственно к нынешным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-требовать оплатить штраф размере 10000 (десять тысяч) сомов за незаконное размешение водопроводов в личных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-отметить оплату 3000 (три тысячи) сом жителям желаюшим пр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ведения и устро</w:t>
      </w:r>
      <w:r>
        <w:rPr>
          <w:rFonts w:ascii="Arial" w:cs="Arial" w:eastAsia="Arial" w:hAnsi="Arial"/>
          <w:sz w:val="24"/>
          <w:szCs w:val="24"/>
        </w:rPr>
        <w:t xml:space="preserve">йс</w:t>
      </w:r>
      <w:r>
        <w:rPr>
          <w:rFonts w:ascii="Arial" w:cs="Arial" w:eastAsia="Arial" w:hAnsi="Arial"/>
          <w:sz w:val="24"/>
          <w:szCs w:val="24"/>
        </w:rPr>
        <w:t xml:space="preserve">тва водопроводов в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требовать оплату 2 раза больше у тех жител которые провели установили вода-порводы в личных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 этого пастонавления поручить пастоянной комиссии по делам социально–культурной, одел образования, спорт, миграции, туризима, здравоохранения, коммунальной муниципиальной собственности, по делам молодежи, примерного опрделения социально-экономического развития, экономики и бюджета торага А.Жолдошову и замистителю сельского управа К.Кожомбердиеву.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okkh9svqihy5-dbcp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dalil.kg/document/26617</w:t>
      </w:r>
    </w:hyperlink>
  </w:p>
  <w:p>
    <w:pPr>
      <w:spacing w:after="0" w:before="40"/>
      <w:jc w:val="center"/>
    </w:pPr>
    <w:hyperlink w:history="1" r:id="rIdq4pcwbimkdwhe9wzv5f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qluh21trz5utu-nypof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okkh9svqihy5-dbcpbg" Type="http://schemas.openxmlformats.org/officeDocument/2006/relationships/hyperlink" Target="https://dalil.kg/document/26617" TargetMode="External"/><Relationship Id="rIdq4pcwbimkdwhe9wzv5f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2026-09-23T18:00:40.817Z</dcterms:created>
  <dcterms:modified xsi:type="dcterms:W3CDTF">2026-09-23T18:00:40.817Z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