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АЙЫЛНЫЙ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двадцать первой сессии (1У-созыва) Кенеша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№21/3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предложении рабочий группы С.И.П. и М.П.П составленный по проекту (К.Д.К.И.-11) конверсирование долгов-11-коммуннальная инфраструктура руководство Кара-Кочкорского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пукта-1, статьи-46, </w:t>
      </w:r>
      <w:hyperlink w:history="1" r:id="rIds_esysckb385qal8qz_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“О м</w:t>
      </w:r>
      <w:r>
        <w:rPr>
          <w:rFonts w:ascii="Arial" w:cs="Arial" w:eastAsia="Arial" w:hAnsi="Arial"/>
          <w:sz w:val="24"/>
          <w:szCs w:val="24"/>
        </w:rPr>
        <w:t xml:space="preserve">естном самоуправлении и местной государственной админстрации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Кенеша Кара-Кочкорского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рабочей группы (С.И.П. и М.П.П.) составленной по проекту руководства Кара-Кочкорского аильного округа, конверсирование долгов коммунальной инфраструктура (К.Д.К.И.-11) утвердить.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выделение земли по проекту для пристойки спортивного Зала на места старый школы села Ак-Кии.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 этого пастонавления поручить пастоянной комиссии по делам социально–культурной, одел образования, спорт, миграции, туризима, здравоохранения ,коммунальной муниципиальной собственности ,по делам молодежи, примерного опрделения социально-экономического развития, экономики и бюджета торага А. Жолдошову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tomyql3z51yo-ou5x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dalil.kg/document/26619</w:t>
      </w:r>
    </w:hyperlink>
  </w:p>
  <w:p>
    <w:pPr>
      <w:spacing w:after="0" w:before="40"/>
      <w:jc w:val="center"/>
    </w:pPr>
    <w:hyperlink w:history="1" r:id="rIdt5e9p2tgq9i9ebwzqxt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esysckb385qal8qz_3w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tomyql3z51yo-ou5xrr" Type="http://schemas.openxmlformats.org/officeDocument/2006/relationships/hyperlink" Target="https://dalil.kg/document/26619" TargetMode="External"/><Relationship Id="rIdt5e9p2tgq9i9ebwzqxt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2026-09-23T23:05:33.959Z</dcterms:created>
  <dcterms:modified xsi:type="dcterms:W3CDTF">2026-09-23T23:05:33.959Z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