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XXXIII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апреля </w:t>
      </w:r>
      <w:r>
        <w:rPr>
          <w:rFonts w:ascii="Arial" w:cs="Arial" w:eastAsia="Arial" w:hAnsi="Arial"/>
          <w:sz w:val="24"/>
          <w:szCs w:val="24"/>
        </w:rPr>
        <w:t xml:space="preserve">2012 г</w:t>
      </w:r>
      <w:r>
        <w:rPr>
          <w:rFonts w:ascii="Arial" w:cs="Arial" w:eastAsia="Arial" w:hAnsi="Arial"/>
          <w:sz w:val="24"/>
          <w:szCs w:val="24"/>
        </w:rPr>
        <w:t xml:space="preserve">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заявления жителей села Таштак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заявления жителей села Таштак о трудностях связанных с неточностью адреса проживания, а именно безымянной улицы, по причине которого возникают недоразумения при оформлении паспортов, детей в школы и детские сады, аыйлный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Абдибали Насирдинова улице новостройки, находящейся на левой стороне дороги «Узген-Ош» (см. 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Письменно обозначить имя Абдибали Насирдинова на улице и пронумеровать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обязанности исполнения данного постановления на руководителя Шаркского айыл окмоту А. Салиева.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mivqzrgjmjgrnd-nl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dalil.kg/document/26740</w:t>
      </w:r>
    </w:hyperlink>
  </w:p>
  <w:p>
    <w:pPr>
      <w:spacing w:after="0" w:before="40"/>
      <w:jc w:val="center"/>
    </w:pPr>
    <w:hyperlink w:history="1" r:id="rIdvninrf9wzs7vlfgjjri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mivqzrgjmjgrnd-nl4b" Type="http://schemas.openxmlformats.org/officeDocument/2006/relationships/hyperlink" Target="https://dalil.kg/document/26740" TargetMode="External"/><Relationship Id="rIdvninrf9wzs7vlfgjjri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2026-09-24T00:16:09.257Z</dcterms:created>
  <dcterms:modified xsi:type="dcterms:W3CDTF">2026-09-24T00:16:09.257Z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