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tbl>
      <w:tblPr>
        <w:tblW w:type="dxa" w:w="10178"/>
        <w:tblBorders>
          <w:top w:val="none" w:color="auto" w:sz="0"/>
          <w:left w:val="none" w:color="auto" w:sz="0"/>
          <w:bottom w:val="none" w:color="auto" w:sz="0"/>
          <w:right w:val="none" w:color="auto" w:sz="0"/>
          <w:insideH w:val="none" w:color="auto" w:sz="0"/>
          <w:insideV w:val="none" w:color="auto" w:sz="0"/>
        </w:tblBorders>
        <w:tblLayout w:type="fixed"/>
      </w:tblPr>
      <w:tblGrid>
        <w:gridCol w:w="10178"/>
      </w:tblGrid>
      <w:tr>
        <w:tc>
          <w:tcPr>
            <w:tcW w:type="dxa" w:w="10178"/>
            <w:tcBorders>
              <w:top w:val="none" w:color="auto" w:sz="0"/>
              <w:left w:val="none" w:color="auto" w:sz="0"/>
              <w:bottom w:val="none" w:color="auto" w:sz="0"/>
              <w:right w:val="none" w:color="auto" w:sz="0"/>
            </w:tcBorders>
          </w:tcPr>
          <w:p>
            <w:pPr>
              <w:spacing w:after="200"/>
              <w:jc w:val="center"/>
            </w:pPr>
            <w:r>
              <w:drawing>
                <wp:inline distT="0" distB="0" distL="0" distR="0">
                  <wp:extent cx="1152525" cy="1152525"/>
                  <wp:effectExtent t="0" r="0" b="0" l="0"/>
                  <wp:docPr id="1" name="emblem.png" descr="Герб Кыргызской Республики" title="Герб КР"/>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 descr=""/>
                          <pic:cNvPicPr>
                            <a:picLocks noChangeAspect="1" noChangeArrowheads="1"/>
                          </pic:cNvPicPr>
                        </pic:nvPicPr>
                        <pic:blipFill>
                          <a:blip r:embed="rId8" cstate="none"/>
                          <a:srcRect/>
                          <a:stretch>
                            <a:fillRect/>
                          </a:stretch>
                        </pic:blipFill>
                        <pic:spPr bwMode="auto">
                          <a:xfrm>
                            <a:off x="0" y="0"/>
                            <a:ext cx="1152525" cy="1152525"/>
                          </a:xfrm>
                          <a:prstGeom prst="rect">
                            <a:avLst/>
                          </a:prstGeom>
                        </pic:spPr>
                      </pic:pic>
                    </a:graphicData>
                  </a:graphic>
                </wp:inline>
              </w:drawing>
            </w:r>
          </w:p>
        </w:tc>
      </w:tr>
    </w:tbl>
    <w:p>
      <w:pPr>
        <w:spacing w:after="120"/>
        <w:jc w:val="both"/>
      </w:pPr>
      <w:r>
        <w:rPr>
          <w:rFonts w:ascii="Arial" w:cs="Arial" w:eastAsia="Arial" w:hAnsi="Arial"/>
          <w:sz w:val="24"/>
          <w:szCs w:val="24"/>
        </w:rPr>
        <w:t xml:space="preserve">                            УТРАТИЛ СИЛУ                 в соответствии с Приказом Минфина КР                     от 27 января 2005 года № 21-П Зарегистрировано в Министерстве юстиции Кыргызской Республики5 декабря 2000 года. Регистрационный номер 196 г.Бишкекот 23 ноября 2000 года № 15-11/753               ПРИКАЗ ГОСУДАРСТВЕННОЙ ТАМОЖЕННОЙ ИНСПЕКЦИИ            ПРИ МИНИСТЕРСТВЕ ФИНАНСОВ КЫРГЫЗСКОЙ РЕСПУБЛИКИ          Об утверждении Положения о таможенном режиме транзита      В целях совершенствования порядка декларирования товаров и  транс-портных средств,  перемещаемых через таможенную границу Кыргызской Рес-публики в таможенном режиме транзита, приказываю:     1. Утвердить </w:t>
      </w:r>
      <w:hyperlink w:history="1" r:id="rIdlx10hp-7ccjjea_mwdq1n">
        <w:r>
          <w:rPr>
            <w:rFonts w:ascii="Arial" w:cs="Arial" w:eastAsia="Arial" w:hAnsi="Arial"/>
            <w:color w:val="1D4ED8"/>
            <w:sz w:val="24"/>
            <w:szCs w:val="24"/>
            <w:u w:val="single"/>
          </w:rPr>
          <w:t xml:space="preserve">Положение</w:t>
        </w:r>
      </w:hyperlink>
      <w:r>
        <w:rPr>
          <w:rFonts w:ascii="Arial" w:cs="Arial" w:eastAsia="Arial" w:hAnsi="Arial"/>
          <w:sz w:val="24"/>
          <w:szCs w:val="24"/>
        </w:rPr>
        <w:t xml:space="preserve"> о таможенном режиме транзита.     2. Управлению организации таможенного контроля Государственной та-моженной инспекции при Министерстве финансов Кыргызской Республики (Чу-кин А.А.) провести в установленном порядке государственную  регистрациюПоложения о  таможенном режиме транзита в Министерстве юстиции Кыргызс-кой Республики.     3. Пресс-службе  Государственной  таможенной  инспекции при Минис-терстве финансов Кыргызской Республики  (Малдыбаев  А.А.)  опубликоватьнастоящее  Положение  после  государственной регистрации в Министерствеюстиции Кыргызской Республики и провести разъяснительную  работу  черезсредства массовой информации.     4. Настоящий приказ вступает в силу по истечении  пятнадцати  днейпосле официального опубликования.     5. Начальникам таможенных органов  провести  занятия  по  изучениюнастоящего Положения.     6. Контроль за исполнением настоящего приказа возложить на первогозаместителя  директора  Государственной таможенной инспекции при Минис-терстве финансов Кыргызской Республики Иманкулова К.А.     7. Положение о  таможенном  режиме  транзита,  утвержденное  ранееприказом ГТИ от 7 октября 1997 года № 15-7/209, считать утратившим силус момента введения в действие настоящего Положения.     8. Общему отделу Государственной таможенной инспекции  при  Минис-терстве финансов Кыргызской Республики (Омурбекова Д.А.) довести насто-ящий приказ до сведения управлений,  самостоятельных отделов ГТИ, тамо-жен и иных заинтересованных лиц.      Директор Государственной таможенной     инспекции при Министерстве финансов     Кыргызской Республики                             А.Кангельдиев</w:t>
      </w:r>
    </w:p>
    <w:sectPr>
      <w:footerReference w:type="default" r:id="rId7"/>
      <w:pgSz w:w="11906" w:h="16838" w:orient="portrait"/>
      <w:pgMar w:top="864" w:right="864" w:bottom="864" w:left="864"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pBdr>
        <w:top w:val="single" w:color="D0D0D0" w:sz="6" w:space="8"/>
      </w:pBdr>
      <w:spacing w:after="0" w:before="80"/>
      <w:jc w:val="center"/>
    </w:pPr>
    <w:r>
      <w:rPr>
        <w:rFonts w:ascii="Arial" w:cs="Arial" w:eastAsia="Arial" w:hAnsi="Arial"/>
        <w:color w:val="666666"/>
        <w:sz w:val="16"/>
        <w:szCs w:val="16"/>
      </w:rPr>
      <w:t xml:space="preserve">Источник: </w:t>
    </w:r>
    <w:hyperlink w:history="1" r:id="rIdwnemjgnlv4vu8kszolzp8">
      <w:r>
        <w:rPr>
          <w:rFonts w:ascii="Arial" w:cs="Arial" w:eastAsia="Arial" w:hAnsi="Arial"/>
          <w:color w:val="132D3F"/>
          <w:sz w:val="16"/>
          <w:szCs w:val="16"/>
          <w:u w:val="single"/>
        </w:rPr>
        <w:t xml:space="preserve">dalil.kg/document/300250</w:t>
      </w:r>
    </w:hyperlink>
  </w:p>
  <w:p>
    <w:pPr>
      <w:spacing w:after="0" w:before="40"/>
      <w:jc w:val="center"/>
    </w:pPr>
    <w:hyperlink w:history="1" r:id="rId3pzn0llhyisyjfepr7puq">
      <w:r>
        <w:rPr>
          <w:rFonts w:ascii="Arial" w:cs="Arial" w:eastAsia="Arial" w:hAnsi="Arial"/>
          <w:color w:val="132D3F"/>
          <w:sz w:val="16"/>
          <w:szCs w:val="16"/>
          <w:u w:val="single"/>
        </w:rPr>
        <w:t xml:space="preserve">dalil.kg</w:t>
      </w:r>
    </w:hyperlink>
    <w:r>
      <w:rPr>
        <w:rFonts w:ascii="Arial" w:cs="Arial" w:eastAsia="Arial" w:hAnsi="Arial"/>
        <w:color w:val="666666"/>
        <w:sz w:val="16"/>
        <w:szCs w:val="16"/>
      </w:rPr>
      <w:t xml:space="preserve"> — правовая библиотека Кыргызской Республики</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num w:numId="1">
    <w:abstractNumId w:val="1"/>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style w:type="paragraph" w:default="1" w:styleId="Normal">
    <w:name w:val="Normal"/>
    <w:qFormat/>
    <w:pPr>
      <w:spacing w:after="120" w:line="276"/>
    </w:pPr>
    <w:rPr>
      <w:rFonts w:ascii="Arial" w:cs="Arial" w:eastAsia="Arial" w:hAnsi="Arial"/>
      <w:sz w:val="24"/>
      <w:szCs w:val="24"/>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lx10hp-7ccjjea_mwdq1n" Type="http://schemas.openxmlformats.org/officeDocument/2006/relationships/hyperlink" Target="https://dalil.kg/document/300251" TargetMode="External"/><Relationship Id="rId8" Type="http://schemas.openxmlformats.org/officeDocument/2006/relationships/image" Target="media/8de64316e95979c063c17bcd5380dc052a2594e9.png"/><Relationship Id="rId10"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Relationship Id="rIdwnemjgnlv4vu8kszolzp8" Type="http://schemas.openxmlformats.org/officeDocument/2006/relationships/hyperlink" Target="https://dalil.kg/document/300250" TargetMode="External"/><Relationship Id="rId3pzn0llhyisyjfepr7puq" Type="http://schemas.openxmlformats.org/officeDocument/2006/relationships/hyperlink" Target="https://dalil.kg" TargetMode="External"/></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Un-named</dc:creator>
  <cp:lastModifiedBy>Un-named</cp:lastModifiedBy>
  <cp:revision>1</cp:revision>
  <dcterms:created xsi:type="dcterms:W3CDTF">2026-09-30T16:27:11.070Z</dcterms:created>
  <dcterms:modified xsi:type="dcterms:W3CDTF">2026-09-30T16:27:11.070Z</dcterms:modified>
</cp:coreProperties>
</file>

<file path=docProps/custom.xml><?xml version="1.0" encoding="utf-8"?>
<Properties xmlns="http://schemas.openxmlformats.org/officeDocument/2006/custom-properties" xmlns:vt="http://schemas.openxmlformats.org/officeDocument/2006/docPropsVTypes"/>
</file>