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mf6up7olpsr8afj1jzr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сентября 2005 года. Регистрационный номер 134-05                                                    Утверждены                                              </w:t>
      </w:r>
      <w:hyperlink w:history="1" r:id="rId0i1wca5lxit81c6celnd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13 сентября 2005 года N 264      Министерство транспорта и коммуникаций Кыргызской Республики                АВИАЦИОННЫЕ ПРАВИЛА КЫРГЫЗСКОЙ РЕСПУБЛИКИ                                АПКР145         "Утвержденные организации по техническому обслуживанию"                          Раздел 2 (Стандарты)      </w:t>
      </w:r>
      <w:hyperlink w:history="1" r:id="rIdjackp4srtaz63uh--uzfg">
        <w:r>
          <w:rPr>
            <w:rFonts w:ascii="Arial" w:cs="Arial" w:eastAsia="Arial" w:hAnsi="Arial"/>
            <w:color w:val="1D4ED8"/>
            <w:sz w:val="24"/>
            <w:szCs w:val="24"/>
            <w:u w:val="single"/>
          </w:rPr>
          <w:t xml:space="preserve">АПКР145.01с(а) Общее</w:t>
        </w:r>
      </w:hyperlink>
      <w:r>
        <w:rPr>
          <w:rFonts w:ascii="Arial" w:cs="Arial" w:eastAsia="Arial" w:hAnsi="Arial"/>
          <w:sz w:val="24"/>
          <w:szCs w:val="24"/>
        </w:rPr>
        <w:t xml:space="preserve"> </w:t>
      </w:r>
      <w:hyperlink w:history="1" r:id="rIdxwnvg3tkosuqylws-lhuk">
        <w:r>
          <w:rPr>
            <w:rFonts w:ascii="Arial" w:cs="Arial" w:eastAsia="Arial" w:hAnsi="Arial"/>
            <w:color w:val="1D4ED8"/>
            <w:sz w:val="24"/>
            <w:szCs w:val="24"/>
            <w:u w:val="single"/>
          </w:rPr>
          <w:t xml:space="preserve">АПКР145.01с(Ь) Общие положения</w:t>
        </w:r>
      </w:hyperlink>
      <w:r>
        <w:rPr>
          <w:rFonts w:ascii="Arial" w:cs="Arial" w:eastAsia="Arial" w:hAnsi="Arial"/>
          <w:sz w:val="24"/>
          <w:szCs w:val="24"/>
        </w:rPr>
        <w:t xml:space="preserve"> </w:t>
      </w:r>
      <w:hyperlink w:history="1" r:id="rIdkrxo9gdpr5q7xlce-vqny">
        <w:r>
          <w:rPr>
            <w:rFonts w:ascii="Arial" w:cs="Arial" w:eastAsia="Arial" w:hAnsi="Arial"/>
            <w:color w:val="1D4ED8"/>
            <w:sz w:val="24"/>
            <w:szCs w:val="24"/>
            <w:u w:val="single"/>
          </w:rPr>
          <w:t xml:space="preserve">АПКР145.05с    Определения</w:t>
        </w:r>
      </w:hyperlink>
      <w:r>
        <w:rPr>
          <w:rFonts w:ascii="Arial" w:cs="Arial" w:eastAsia="Arial" w:hAnsi="Arial"/>
          <w:sz w:val="24"/>
          <w:szCs w:val="24"/>
        </w:rPr>
        <w:t xml:space="preserve"> </w:t>
      </w:r>
      <w:hyperlink w:history="1" r:id="rIdqn0p3nu5yk31dnsmeim96">
        <w:r>
          <w:rPr>
            <w:rFonts w:ascii="Arial" w:cs="Arial" w:eastAsia="Arial" w:hAnsi="Arial"/>
            <w:color w:val="1D4ED8"/>
            <w:sz w:val="24"/>
            <w:szCs w:val="24"/>
            <w:u w:val="single"/>
          </w:rPr>
          <w:t xml:space="preserve">АПКР145.10с    Применение</w:t>
        </w:r>
      </w:hyperlink>
      <w:r>
        <w:rPr>
          <w:rFonts w:ascii="Arial" w:cs="Arial" w:eastAsia="Arial" w:hAnsi="Arial"/>
          <w:sz w:val="24"/>
          <w:szCs w:val="24"/>
        </w:rPr>
        <w:t xml:space="preserve"> </w:t>
      </w:r>
      <w:hyperlink w:history="1" r:id="rIdnqsjoojkacuz_ihosknhh">
        <w:r>
          <w:rPr>
            <w:rFonts w:ascii="Arial" w:cs="Arial" w:eastAsia="Arial" w:hAnsi="Arial"/>
            <w:color w:val="1D4ED8"/>
            <w:sz w:val="24"/>
            <w:szCs w:val="24"/>
            <w:u w:val="single"/>
          </w:rPr>
          <w:t xml:space="preserve">АПКР145.25с(а) Требования к рабочей обстановке</w:t>
        </w:r>
      </w:hyperlink>
      <w:r>
        <w:rPr>
          <w:rFonts w:ascii="Arial" w:cs="Arial" w:eastAsia="Arial" w:hAnsi="Arial"/>
          <w:sz w:val="24"/>
          <w:szCs w:val="24"/>
        </w:rPr>
        <w:t xml:space="preserve"> </w:t>
      </w:r>
      <w:hyperlink w:history="1" r:id="rId_q5il3nmiseuyfe_wyt9n">
        <w:r>
          <w:rPr>
            <w:rFonts w:ascii="Arial" w:cs="Arial" w:eastAsia="Arial" w:hAnsi="Arial"/>
            <w:color w:val="1D4ED8"/>
            <w:sz w:val="24"/>
            <w:szCs w:val="24"/>
            <w:u w:val="single"/>
          </w:rPr>
          <w:t xml:space="preserve">АПКР145.25с(Ь) Требования к хранилищам</w:t>
        </w:r>
      </w:hyperlink>
      <w:r>
        <w:rPr>
          <w:rFonts w:ascii="Arial" w:cs="Arial" w:eastAsia="Arial" w:hAnsi="Arial"/>
          <w:sz w:val="24"/>
          <w:szCs w:val="24"/>
        </w:rPr>
        <w:t xml:space="preserve"> </w:t>
      </w:r>
      <w:hyperlink w:history="1" r:id="rIddxjitcnwvv2gzwbwdpu_p">
        <w:r>
          <w:rPr>
            <w:rFonts w:ascii="Arial" w:cs="Arial" w:eastAsia="Arial" w:hAnsi="Arial"/>
            <w:color w:val="1D4ED8"/>
            <w:sz w:val="24"/>
            <w:szCs w:val="24"/>
            <w:u w:val="single"/>
          </w:rPr>
          <w:t xml:space="preserve">АПКР145.30с(а) Требования к обслуживающему персоналу</w:t>
        </w:r>
      </w:hyperlink>
      <w:r>
        <w:rPr>
          <w:rFonts w:ascii="Arial" w:cs="Arial" w:eastAsia="Arial" w:hAnsi="Arial"/>
          <w:sz w:val="24"/>
          <w:szCs w:val="24"/>
        </w:rPr>
        <w:t xml:space="preserve"> </w:t>
      </w:r>
      <w:hyperlink w:history="1" r:id="rIdlvop89smwbmwbjpgwux8j">
        <w:r>
          <w:rPr>
            <w:rFonts w:ascii="Arial" w:cs="Arial" w:eastAsia="Arial" w:hAnsi="Arial"/>
            <w:color w:val="1D4ED8"/>
            <w:sz w:val="24"/>
            <w:szCs w:val="24"/>
            <w:u w:val="single"/>
          </w:rPr>
          <w:t xml:space="preserve">АПКР145.30с(b) Требования, предъявляемые к персоналу</w:t>
        </w:r>
      </w:hyperlink>
      <w:r>
        <w:rPr>
          <w:rFonts w:ascii="Arial" w:cs="Arial" w:eastAsia="Arial" w:hAnsi="Arial"/>
          <w:sz w:val="24"/>
          <w:szCs w:val="24"/>
        </w:rPr>
        <w:t xml:space="preserve"> </w:t>
      </w:r>
      <w:hyperlink w:history="1" r:id="rIdmmofmj57rrij4thvubfcq">
        <w:r>
          <w:rPr>
            <w:rFonts w:ascii="Arial" w:cs="Arial" w:eastAsia="Arial" w:hAnsi="Arial"/>
            <w:color w:val="1D4ED8"/>
            <w:sz w:val="24"/>
            <w:szCs w:val="24"/>
            <w:u w:val="single"/>
          </w:rPr>
          <w:t xml:space="preserve">АПКР145.30с(с) Требования, предъявляемые к персоналу</w:t>
        </w:r>
      </w:hyperlink>
      <w:r>
        <w:rPr>
          <w:rFonts w:ascii="Arial" w:cs="Arial" w:eastAsia="Arial" w:hAnsi="Arial"/>
          <w:sz w:val="24"/>
          <w:szCs w:val="24"/>
        </w:rPr>
        <w:t xml:space="preserve"> </w:t>
      </w:r>
      <w:hyperlink w:history="1" r:id="rIdvdjlsgqgvy_hzvva0kdyl">
        <w:r>
          <w:rPr>
            <w:rFonts w:ascii="Arial" w:cs="Arial" w:eastAsia="Arial" w:hAnsi="Arial"/>
            <w:color w:val="1D4ED8"/>
            <w:sz w:val="24"/>
            <w:szCs w:val="24"/>
            <w:u w:val="single"/>
          </w:rPr>
          <w:t xml:space="preserve">АПКР145.30c(d) Требования, предъявляемые к персоналу</w:t>
        </w:r>
      </w:hyperlink>
      <w:r>
        <w:rPr>
          <w:rFonts w:ascii="Arial" w:cs="Arial" w:eastAsia="Arial" w:hAnsi="Arial"/>
          <w:sz w:val="24"/>
          <w:szCs w:val="24"/>
        </w:rPr>
        <w:t xml:space="preserve"> </w:t>
      </w:r>
      <w:hyperlink w:history="1" r:id="rIdmmdz0jz7a915f--2beqjm">
        <w:r>
          <w:rPr>
            <w:rFonts w:ascii="Arial" w:cs="Arial" w:eastAsia="Arial" w:hAnsi="Arial"/>
            <w:color w:val="1D4ED8"/>
            <w:sz w:val="24"/>
            <w:szCs w:val="24"/>
            <w:u w:val="single"/>
          </w:rPr>
          <w:t xml:space="preserve">АПКР145.35с(а) Записи в учетных карточках квалифицированного</w:t>
        </w:r>
      </w:hyperlink>
      <w:r>
        <w:rPr>
          <w:rFonts w:ascii="Arial" w:cs="Arial" w:eastAsia="Arial" w:hAnsi="Arial"/>
          <w:sz w:val="24"/>
          <w:szCs w:val="24"/>
        </w:rPr>
        <w:t xml:space="preserve">                    персонала     </w:t>
      </w:r>
      <w:hyperlink w:history="1" r:id="rIdcx1fsia2yo4ufe-k2ebx3">
        <w:r>
          <w:rPr>
            <w:rFonts w:ascii="Arial" w:cs="Arial" w:eastAsia="Arial" w:hAnsi="Arial"/>
            <w:color w:val="1D4ED8"/>
            <w:sz w:val="24"/>
            <w:szCs w:val="24"/>
            <w:u w:val="single"/>
          </w:rPr>
          <w:t xml:space="preserve">АПКР145.35с(b) Записи в учетных карточках квалификационного</w:t>
        </w:r>
      </w:hyperlink>
      <w:r>
        <w:rPr>
          <w:rFonts w:ascii="Arial" w:cs="Arial" w:eastAsia="Arial" w:hAnsi="Arial"/>
          <w:sz w:val="24"/>
          <w:szCs w:val="24"/>
        </w:rPr>
        <w:t xml:space="preserve">                    персонала     </w:t>
      </w:r>
      <w:hyperlink w:history="1" r:id="rIdnhj_wf26ouiqpzpfgauq4">
        <w:r>
          <w:rPr>
            <w:rFonts w:ascii="Arial" w:cs="Arial" w:eastAsia="Arial" w:hAnsi="Arial"/>
            <w:color w:val="1D4ED8"/>
            <w:sz w:val="24"/>
            <w:szCs w:val="24"/>
            <w:u w:val="single"/>
          </w:rPr>
          <w:t xml:space="preserve">АПКР145.40с(а) Оборудование, Инструменты и Материалы</w:t>
        </w:r>
      </w:hyperlink>
      <w:r>
        <w:rPr>
          <w:rFonts w:ascii="Arial" w:cs="Arial" w:eastAsia="Arial" w:hAnsi="Arial"/>
          <w:sz w:val="24"/>
          <w:szCs w:val="24"/>
        </w:rPr>
        <w:t xml:space="preserve"> </w:t>
      </w:r>
      <w:hyperlink w:history="1" r:id="rIdiq5t01j7eonkuv636q_gp">
        <w:r>
          <w:rPr>
            <w:rFonts w:ascii="Arial" w:cs="Arial" w:eastAsia="Arial" w:hAnsi="Arial"/>
            <w:color w:val="1D4ED8"/>
            <w:sz w:val="24"/>
            <w:szCs w:val="24"/>
            <w:u w:val="single"/>
          </w:rPr>
          <w:t xml:space="preserve">АПКР145.40с(b) Оборудование, Инструменты и Материалы</w:t>
        </w:r>
      </w:hyperlink>
      <w:r>
        <w:rPr>
          <w:rFonts w:ascii="Arial" w:cs="Arial" w:eastAsia="Arial" w:hAnsi="Arial"/>
          <w:sz w:val="24"/>
          <w:szCs w:val="24"/>
        </w:rPr>
        <w:t xml:space="preserve"> </w:t>
      </w:r>
      <w:hyperlink w:history="1" r:id="rIdzisvggeju8elceonjunz-">
        <w:r>
          <w:rPr>
            <w:rFonts w:ascii="Arial" w:cs="Arial" w:eastAsia="Arial" w:hAnsi="Arial"/>
            <w:color w:val="1D4ED8"/>
            <w:sz w:val="24"/>
            <w:szCs w:val="24"/>
            <w:u w:val="single"/>
          </w:rPr>
          <w:t xml:space="preserve">АПКР145.45с(а) Утвержденные данные</w:t>
        </w:r>
      </w:hyperlink>
      <w:r>
        <w:rPr>
          <w:rFonts w:ascii="Arial" w:cs="Arial" w:eastAsia="Arial" w:hAnsi="Arial"/>
          <w:sz w:val="24"/>
          <w:szCs w:val="24"/>
        </w:rPr>
        <w:t xml:space="preserve"> </w:t>
      </w:r>
      <w:hyperlink w:history="1" r:id="rIdbzkilk4wadksx76mmq4jj">
        <w:r>
          <w:rPr>
            <w:rFonts w:ascii="Arial" w:cs="Arial" w:eastAsia="Arial" w:hAnsi="Arial"/>
            <w:color w:val="1D4ED8"/>
            <w:sz w:val="24"/>
            <w:szCs w:val="24"/>
            <w:u w:val="single"/>
          </w:rPr>
          <w:t xml:space="preserve">АПКР145.45с(b) Одобренные данные</w:t>
        </w:r>
      </w:hyperlink>
      <w:r>
        <w:rPr>
          <w:rFonts w:ascii="Arial" w:cs="Arial" w:eastAsia="Arial" w:hAnsi="Arial"/>
          <w:sz w:val="24"/>
          <w:szCs w:val="24"/>
        </w:rPr>
        <w:t xml:space="preserve"> </w:t>
      </w:r>
      <w:hyperlink w:history="1" r:id="rIdlxxwsd5bxlgyphvwrgvpb">
        <w:r>
          <w:rPr>
            <w:rFonts w:ascii="Arial" w:cs="Arial" w:eastAsia="Arial" w:hAnsi="Arial"/>
            <w:color w:val="1D4ED8"/>
            <w:sz w:val="24"/>
            <w:szCs w:val="24"/>
            <w:u w:val="single"/>
          </w:rPr>
          <w:t xml:space="preserve">АПКР145.45с(с) Одобренные данные</w:t>
        </w:r>
      </w:hyperlink>
      <w:r>
        <w:rPr>
          <w:rFonts w:ascii="Arial" w:cs="Arial" w:eastAsia="Arial" w:hAnsi="Arial"/>
          <w:sz w:val="24"/>
          <w:szCs w:val="24"/>
        </w:rPr>
        <w:t xml:space="preserve"> </w:t>
      </w:r>
      <w:hyperlink w:history="1" r:id="rIdewr9xmbbxb52_j0b6stfy">
        <w:r>
          <w:rPr>
            <w:rFonts w:ascii="Arial" w:cs="Arial" w:eastAsia="Arial" w:hAnsi="Arial"/>
            <w:color w:val="1D4ED8"/>
            <w:sz w:val="24"/>
            <w:szCs w:val="24"/>
            <w:u w:val="single"/>
          </w:rPr>
          <w:t xml:space="preserve">АПКР145.50с(а) Сертификация обслуживания</w:t>
        </w:r>
      </w:hyperlink>
      <w:r>
        <w:rPr>
          <w:rFonts w:ascii="Arial" w:cs="Arial" w:eastAsia="Arial" w:hAnsi="Arial"/>
          <w:sz w:val="24"/>
          <w:szCs w:val="24"/>
        </w:rPr>
        <w:t xml:space="preserve"> </w:t>
      </w:r>
      <w:hyperlink w:history="1" r:id="rIdbs4zex0jydl_8j2pwym8s">
        <w:r>
          <w:rPr>
            <w:rFonts w:ascii="Arial" w:cs="Arial" w:eastAsia="Arial" w:hAnsi="Arial"/>
            <w:color w:val="1D4ED8"/>
            <w:sz w:val="24"/>
            <w:szCs w:val="24"/>
            <w:u w:val="single"/>
          </w:rPr>
          <w:t xml:space="preserve">АПКР145.50с(b) Сертификация обслуживания</w:t>
        </w:r>
      </w:hyperlink>
      <w:r>
        <w:rPr>
          <w:rFonts w:ascii="Arial" w:cs="Arial" w:eastAsia="Arial" w:hAnsi="Arial"/>
          <w:sz w:val="24"/>
          <w:szCs w:val="24"/>
        </w:rPr>
        <w:t xml:space="preserve"> </w:t>
      </w:r>
      <w:hyperlink w:history="1" r:id="rIdfwxksso3g1iptp0pgcbf5">
        <w:r>
          <w:rPr>
            <w:rFonts w:ascii="Arial" w:cs="Arial" w:eastAsia="Arial" w:hAnsi="Arial"/>
            <w:color w:val="1D4ED8"/>
            <w:sz w:val="24"/>
            <w:szCs w:val="24"/>
            <w:u w:val="single"/>
          </w:rPr>
          <w:t xml:space="preserve">АПКР145.55с(а) Записи о проведении работ по обслуживанию</w:t>
        </w:r>
      </w:hyperlink>
      <w:r>
        <w:rPr>
          <w:rFonts w:ascii="Arial" w:cs="Arial" w:eastAsia="Arial" w:hAnsi="Arial"/>
          <w:sz w:val="24"/>
          <w:szCs w:val="24"/>
        </w:rPr>
        <w:t xml:space="preserve"> </w:t>
      </w:r>
      <w:hyperlink w:history="1" r:id="rIdimhfkegx2grqawxd1b2-z">
        <w:r>
          <w:rPr>
            <w:rFonts w:ascii="Arial" w:cs="Arial" w:eastAsia="Arial" w:hAnsi="Arial"/>
            <w:color w:val="1D4ED8"/>
            <w:sz w:val="24"/>
            <w:szCs w:val="24"/>
            <w:u w:val="single"/>
          </w:rPr>
          <w:t xml:space="preserve">АПКР145.55с(b) Записи о проведении работ по обслуживанию</w:t>
        </w:r>
      </w:hyperlink>
      <w:r>
        <w:rPr>
          <w:rFonts w:ascii="Arial" w:cs="Arial" w:eastAsia="Arial" w:hAnsi="Arial"/>
          <w:sz w:val="24"/>
          <w:szCs w:val="24"/>
        </w:rPr>
        <w:t xml:space="preserve"> </w:t>
      </w:r>
      <w:hyperlink w:history="1" r:id="rId3ivnjoanltmux32053b7x">
        <w:r>
          <w:rPr>
            <w:rFonts w:ascii="Arial" w:cs="Arial" w:eastAsia="Arial" w:hAnsi="Arial"/>
            <w:color w:val="1D4ED8"/>
            <w:sz w:val="24"/>
            <w:szCs w:val="24"/>
            <w:u w:val="single"/>
          </w:rPr>
          <w:t xml:space="preserve">АПКР145.55с(с) Записи о проведении работ по обслуживанию</w:t>
        </w:r>
      </w:hyperlink>
      <w:r>
        <w:rPr>
          <w:rFonts w:ascii="Arial" w:cs="Arial" w:eastAsia="Arial" w:hAnsi="Arial"/>
          <w:sz w:val="24"/>
          <w:szCs w:val="24"/>
        </w:rPr>
        <w:t xml:space="preserve"> </w:t>
      </w:r>
      <w:hyperlink w:history="1" r:id="rIdgliz0vp1qgcfidxizwrwq">
        <w:r>
          <w:rPr>
            <w:rFonts w:ascii="Arial" w:cs="Arial" w:eastAsia="Arial" w:hAnsi="Arial"/>
            <w:color w:val="1D4ED8"/>
            <w:sz w:val="24"/>
            <w:szCs w:val="24"/>
            <w:u w:val="single"/>
          </w:rPr>
          <w:t xml:space="preserve">АПКР145.60с    Отчетность о непригодности к полетам</w:t>
        </w:r>
      </w:hyperlink>
      <w:r>
        <w:rPr>
          <w:rFonts w:ascii="Arial" w:cs="Arial" w:eastAsia="Arial" w:hAnsi="Arial"/>
          <w:sz w:val="24"/>
          <w:szCs w:val="24"/>
        </w:rPr>
        <w:t xml:space="preserve"> </w:t>
      </w:r>
      <w:hyperlink w:history="1" r:id="rId45fdi7al3v_zims_j15sc">
        <w:r>
          <w:rPr>
            <w:rFonts w:ascii="Arial" w:cs="Arial" w:eastAsia="Arial" w:hAnsi="Arial"/>
            <w:color w:val="1D4ED8"/>
            <w:sz w:val="24"/>
            <w:szCs w:val="24"/>
            <w:u w:val="single"/>
          </w:rPr>
          <w:t xml:space="preserve">АПКР145.65с(а) Процедуры обслуживания и системы контроля качества</w:t>
        </w:r>
      </w:hyperlink>
      <w:r>
        <w:rPr>
          <w:rFonts w:ascii="Arial" w:cs="Arial" w:eastAsia="Arial" w:hAnsi="Arial"/>
          <w:sz w:val="24"/>
          <w:szCs w:val="24"/>
        </w:rPr>
        <w:t xml:space="preserve"> </w:t>
      </w:r>
      <w:hyperlink w:history="1" r:id="rIdmw9nqz_08d18-1pyco4gw">
        <w:r>
          <w:rPr>
            <w:rFonts w:ascii="Arial" w:cs="Arial" w:eastAsia="Arial" w:hAnsi="Arial"/>
            <w:color w:val="1D4ED8"/>
            <w:sz w:val="24"/>
            <w:szCs w:val="24"/>
            <w:u w:val="single"/>
          </w:rPr>
          <w:t xml:space="preserve">АПКР145.65с(b) Процедуры обслуживания и системы контроля качества</w:t>
        </w:r>
      </w:hyperlink>
      <w:r>
        <w:rPr>
          <w:rFonts w:ascii="Arial" w:cs="Arial" w:eastAsia="Arial" w:hAnsi="Arial"/>
          <w:sz w:val="24"/>
          <w:szCs w:val="24"/>
        </w:rPr>
        <w:t xml:space="preserve"> </w:t>
      </w:r>
      <w:hyperlink w:history="1" r:id="rIdsia-6yrox6chejtuf-xay">
        <w:r>
          <w:rPr>
            <w:rFonts w:ascii="Arial" w:cs="Arial" w:eastAsia="Arial" w:hAnsi="Arial"/>
            <w:color w:val="1D4ED8"/>
            <w:sz w:val="24"/>
            <w:szCs w:val="24"/>
            <w:u w:val="single"/>
          </w:rPr>
          <w:t xml:space="preserve">АПКР145.70с    Руководство по техническому обслуживанию</w:t>
        </w:r>
      </w:hyperlink>
      <w:r>
        <w:rPr>
          <w:rFonts w:ascii="Arial" w:cs="Arial" w:eastAsia="Arial" w:hAnsi="Arial"/>
          <w:sz w:val="24"/>
          <w:szCs w:val="24"/>
        </w:rPr>
        <w:t xml:space="preserve"> </w:t>
      </w:r>
      <w:hyperlink w:history="1" r:id="rIdvi0fquiytuopktkcmzqah">
        <w:r>
          <w:rPr>
            <w:rFonts w:ascii="Arial" w:cs="Arial" w:eastAsia="Arial" w:hAnsi="Arial"/>
            <w:color w:val="1D4ED8"/>
            <w:sz w:val="24"/>
            <w:szCs w:val="24"/>
            <w:u w:val="single"/>
          </w:rPr>
          <w:t xml:space="preserve">АПКР145.80с    Ограничения, касающиеся утвержденной организации</w:t>
        </w:r>
      </w:hyperlink>
      <w:r>
        <w:rPr>
          <w:rFonts w:ascii="Arial" w:cs="Arial" w:eastAsia="Arial" w:hAnsi="Arial"/>
          <w:sz w:val="24"/>
          <w:szCs w:val="24"/>
        </w:rPr>
        <w:t xml:space="preserve">                    по проведению обслуживания     </w:t>
      </w:r>
      <w:hyperlink w:history="1" r:id="rIdumhkkz2mvd5cz-7hzmdrd">
        <w:r>
          <w:rPr>
            <w:rFonts w:ascii="Arial" w:cs="Arial" w:eastAsia="Arial" w:hAnsi="Arial"/>
            <w:color w:val="1D4ED8"/>
            <w:sz w:val="24"/>
            <w:szCs w:val="24"/>
            <w:u w:val="single"/>
          </w:rPr>
          <w:t xml:space="preserve">АПКР145.85с    Изменения для утвержденной организации</w:t>
        </w:r>
      </w:hyperlink>
      <w:r>
        <w:rPr>
          <w:rFonts w:ascii="Arial" w:cs="Arial" w:eastAsia="Arial" w:hAnsi="Arial"/>
          <w:sz w:val="24"/>
          <w:szCs w:val="24"/>
        </w:rPr>
        <w:t xml:space="preserve"> </w:t>
      </w:r>
      <w:r>
        <w:rPr>
          <w:rFonts w:ascii="Arial" w:cs="Arial" w:eastAsia="Arial" w:hAnsi="Arial"/>
          <w:sz w:val="24"/>
          <w:szCs w:val="24"/>
        </w:rPr>
        <w:t xml:space="preserve">  АПКР145.01с(а) Общее      1. Данные  Авиационные  правила  включают  пояснения к Авиационнымправилам Кыргызской Республики АПКР-145  "Утвержденные  организации  потехническому обслуживанию" Раздел 1 (Требования), утвержденным приказомМинистерства  транспорта  и  коммуникаций  Кыргызской   Республики   от13.09.05 г. N 263 (далее - АПКР-145-1).     2. Там,  где конкретный параграф АПКР-145-1 не  имеет  какого-либоинтерпретирующего  либо объяснительного материала в настоящих Авиацион-ных правилах считается, что не требуется никакого объяснительного мате-риала.     3. В настоящих правилах под аббревиатурой АПКР-145 понимаются Ави-ационные правила Кыргызской Республики АПКР-145-1 и настоящие Авиацион-ные правила (далее - АПКР).   </w:t>
      </w:r>
      <w:r>
        <w:rPr>
          <w:rFonts w:ascii="Arial" w:cs="Arial" w:eastAsia="Arial" w:hAnsi="Arial"/>
          <w:sz w:val="24"/>
          <w:szCs w:val="24"/>
        </w:rPr>
        <w:t xml:space="preserve">   АПКР145.01с(Ь) Общие положения      1. Работа в условиях системы качества организации, утвержденной поАПКР-145, относится к организации, самой по себе не утвержденной по от-ношению к АПКР-145,  которая выполняет ограниченное линейное обслужива-ние воздушных судов, либо мелкое обслуживание двигателей, либо обслужи-вание других компонентов воздушных судов, либо специализированные услу-ги  в качестве субподрядчика организации по обслуживанию,  утвержденнойпо АПКР-145,  которая называется под более общим  названием  субподряд.Чтобы получить утверждение на заключение субподряда,  организация,  ут-вержденная по АПКР-145,  должна иметь процедуру для контроля таких суб-подрядчиков, как указано в АПКР145.65(а) АПКР-145-1. Любая утвержденнаяпо АПКР-145 организация по обслуживанию, которая выполняет обслуживаниедля  другой  утвержденной по АПКР-145 организации по обслуживанию,  гдеобслуживание входит в круг утверждения организации по обслуживанию, ут-вержденной  по  АПКР-145,  которая проводит обслуживание,  не считаетсяосуществляющей субподряд, в целях данного параграфа.     2. Обслуживание двигателей или модулей двигателей,  которое не яв-ляется полной обслуживающей проверкой в условиях ремонтного завода  илизавода-изготовителя, будет означать любое техническое обслуживание, ко-торое может быть выполнено без разборки главного двигателя или,  в слу-чае модульных двигателей, без разборки любого главного модуля.     </w:t>
      </w:r>
      <w:r>
        <w:rPr>
          <w:rFonts w:ascii="Arial" w:cs="Arial" w:eastAsia="Arial" w:hAnsi="Arial"/>
          <w:sz w:val="24"/>
          <w:szCs w:val="24"/>
        </w:rPr>
        <w:t xml:space="preserve"> АПКР145.05с Определения      1. Ответственный управляющий может быть директором-распорядителем,либо президентом, либо, управляющим директором, либо генеральным менед-жером и т.п.  утвержденной по АПКР-145 организации по обслуживанию, ко-торый в силу своей должности имеет общую (включая,  в частности, финан-совую)  ответственность по руководству организацией.  Ответственный уп-равляющий может быть ответственным менеджером для более чем  одной  ут-вержденной по АПКР-145 организации по обслуживанию, от него не требуют-ся обязательные знания по техническим вопросам, так как РТО организациипо ТО определяет стандарты обслуживания. В случае делегирования обязан-ностей другому лицу рекомендуется,  чтобы делегирование было записано взаявлении  ответственного  управляющего  АПКР-145.70(а)(1)  АПКР-145-1.Кроме выполнения АПКР-145.30(а) АПКР-145-1,  рекомендуется, чтобы любоеделегирование  обязанностей включало достаточное выделение "средств дляобслуживания".     2. Следует понимать "Восстановление" как термин,  означающий рабо-ту, необходимую для приведения компонента воздушного судна к утвержден-ному стандарту.     </w:t>
      </w:r>
      <w:r>
        <w:rPr>
          <w:rFonts w:ascii="Arial" w:cs="Arial" w:eastAsia="Arial" w:hAnsi="Arial"/>
          <w:sz w:val="24"/>
          <w:szCs w:val="24"/>
        </w:rPr>
        <w:t xml:space="preserve"> АПКР145.10с Применение      1. Орган государственного управления гражданской авиацией (далее -ДГА) может только признать утверждение либо разрешение, выданное другимОрганом Управления гражданской авиации.     2. ДГА обязан вести Государственный Реестр регистрации  Утвержден-ных Организаций по ТО авиационной техники.     3. Для того чтобы организация получила утверждение либо разрешениев соответствии с АПКР-145.10(b) АПКР-145-1 в качестве организации по ТОнеобходимо,  чтобы руководящий  персонал,  указанный  в  АПКР-145.30(а)АПКР-145-1 находился на месте базировки организации по ТО.    </w:t>
      </w:r>
      <w:r>
        <w:rPr>
          <w:rFonts w:ascii="Arial" w:cs="Arial" w:eastAsia="Arial" w:hAnsi="Arial"/>
          <w:sz w:val="24"/>
          <w:szCs w:val="24"/>
        </w:rPr>
        <w:t xml:space="preserve">  АПКР145.25с(а) Требования к рабочей обстановке      1. Объем пыли или других загрязняющих веществ, содержащихся в воз-духе, должен быть минимальным и не должен достигать такого уровня, ког-да высокий уровень загрязнения в месте нахождения очевиден.     2. Необходимо иметь соответствующие освещение для проверки и  обс-луживания.     3. Уровень шума не должен превышать той точки,  когда уровень шумаотвлекает  обслуживающий персонал от выполнения задачи по инспекционнойпроверке.  Там,  где контроль за источником шума не практичен, персоналдолжен быть обеспечен необходимыми личными приборами для устранения шу-ма, мешающего проверке.     4. Там,  где специальная задача по обслуживанию требует особых ус-ловий,  в зависимости от ситуации,  необходимо соблюдать  эти  условия.Особые условия определены в инструкциях по обслуживанию.     5. Рабочие условия по линейному обслуживанию должны быть организо-ваны таким образом, чтобы особая задача по обслуживанию или по проверкемогла быть выполнена беспрепятственно.  Там, где рабочие условия мешаютвыполнению  обслуживания,  и имеется неприемлемый уровень температуры ивлажности,  а также когда работа должна проводиться в  условиях  града,гололедицы,  снегопада,  ветра,  плохого освещения, пыли или других ве-ществ,  находящихся в воздухе,  особые условия по обслуживанию или про-верке  должны  быть приостановлены до восстановления удовлетворительныхусловий.     6. Для  основного  и линейного обслуживания,  там,  где результатывоздушной проверки на пыль и др.  видны на поверхности,  все системы попроверке должны быть опечатаны,  до тех пор, пока не будут созданы при-емлемые условия.   </w:t>
      </w:r>
      <w:r>
        <w:rPr>
          <w:rFonts w:ascii="Arial" w:cs="Arial" w:eastAsia="Arial" w:hAnsi="Arial"/>
          <w:sz w:val="24"/>
          <w:szCs w:val="24"/>
        </w:rPr>
        <w:t xml:space="preserve">   АПКР145.25с(Ь) Требования к хранилищам      1. Помещения для хранения деталей воздушного судна  (далее  -  ВС)должны  быть  чистыми,  с хорошей вентиляцией и их необходимо содержатьпри равномерной, сухой температуре для снижения к минимуму эффекта кон-денсации  влаги.  Необходимо  следовать  рекомендациям производителя похранению деталей ВС.     2. Полки  должны быть достаточно крепкими для хранения деталей ВС,а также для более крупных деталей ВС,  чтобы  предотвратить  разрушениепри складировании.     3. Все детали ВС,  там,  где это представляется практичным, должныбыть упакованы в защитный материал, для избежания разрушения или корро-зии в период хранения.  </w:t>
      </w:r>
      <w:r>
        <w:rPr>
          <w:rFonts w:ascii="Arial" w:cs="Arial" w:eastAsia="Arial" w:hAnsi="Arial"/>
          <w:sz w:val="24"/>
          <w:szCs w:val="24"/>
        </w:rPr>
        <w:t xml:space="preserve">    АПКР145.30с(а) Требования к обслуживающему персоналу      1. Назначенное лицо или лица должны  представлять  организацию  поструктуре управления обслуживанием и должны быть ответственны за выпол-нение всех функций,  перечисленных в АПКР-145-1. Из этого следует, что,в зависимости от размера организации по ТО, функции могут быть поделенымежду отдельными менеджерами (в дальнейшем они также могут быть  разде-лены) или объединены в любом числе.     В сущности,  какую бы организацию ни имела бы организация по ТО  взависимости от степени одобрения,  основной менеджер, а также линейный,менеджер по управлению технической базой и менеджер по качеству, должныотчитываться перед основным менеджером. В малых предприятиях, где любойменеджер может быть также и менеджером по отчетности,  и которые подчи-няются ДГА,  вышеуказанное лицо также может быть линейным менеджером поуправлению,  или менеджером по управлению технической базой. Необходимобудет уточнить или определить,  кто будет выполнять функции вышеуказан-ного менеджера.     2. Оправданным  периодом  отсутствия на рабочем месте является тотпериод, когда организация не может правильно функционировать из-за осо-бых обстоятельств.     3. Менеджер по отчетности отвечает за обеспечение всех необходимыхресурсов  по  обслуживанию в соответствии АПКР-145.65(а) АПКР-145-1 дляподдержки одобрения по АПКР-145.     4. Менеджер по базовому обслуживанию отвечает за все обслуживание,проводимое в ангаре,  а также за какие-либо дефекты,  связанные с  осу-ществлением  основных  работ  по выполнению стандартов,  определенных вАПКР-145.65(а) АПКР-145-1.  Основной менеджер по обслуживанию также от-вечает  за  любые  коррективы  по результатам качественных исследованийсогласно АПКР-145.65(б) АПКР-145-1.     5. Линейный  менеджер  по  обслуживанию отвечает за то,  чтобы всетребуемое обслуживание отвечало,  включая проверку дефектов,  соответс-твию стандартам,  определенным в АПКР-145.65(а) АПКР-145-1. А также от-вечает за какие-либо действия, которые будут являться результатом мони-торинга качества согласно АПКР-145.65(б) АПКР-145-1.     6. Менеджер по управлению технической базой отвечает за то,  чтобывсе   детали   ВС   содержались   согласно   стандартам  АПКР-145.65(а)АПКР-145-1,  а также отвечает за любые действия,  связанные с проверкойкачества согласно АПКР-145.65(б) АПКР-145-1.     7. Менеджер  по  качеству  отвечает  за  соответствия   стандартовАПКР-145 и, при необходимости, мер по исправлению недостатков при помо-щи линейных менеджеров,  менеджеров по обслуживанию,  менеджеров по уп-равлению технической базой или менеджеру по отчетности.     8. Не учитывая параграфы 2-7, организация может принять любое наз-вание для управленческой должности, но должно определить для ДГА лица иих должности для выполнения этих функций.     9. В том случае,  если организация, утвержденная по АПКР-145 выби-рает менеджеров для выполнения функций  по  АПКР-145  согласно  размерупредприятий, необходимо, чтобы эти менеджеры отчитывались или через ос-новного менеджера по обслуживанию,  или линейного менеджера по обслужи-ванию,  или менеджера по управлению технической базой, или менеджера поотчетности.     10. Выше  упомянутые  менеджеры должны быть четко определены.  Длятого чтобы быть принятым, эти менеджеры должны обладать соответствующи-ми знаниями и опытом, связанным с техническим обслуживанием.     Квалифицированный персонал может отчитываться любому  из  менедже-ров, в зависимости от типа контроля применяемого организацией по ТО ут-вержденной по АПКР-145 (например - инженеры с лицензией,  инспектора  сдвойной функцией и т.д.) настолько долго,  насколько персонал,  опреде-ленный по стандартам качества АПКР-145.65(б) АПКР-145-1 остается  неза-висимым.   </w:t>
      </w:r>
      <w:r>
        <w:rPr>
          <w:rFonts w:ascii="Arial" w:cs="Arial" w:eastAsia="Arial" w:hAnsi="Arial"/>
          <w:sz w:val="24"/>
          <w:szCs w:val="24"/>
        </w:rPr>
        <w:t xml:space="preserve">   АПКР145.30с(b) Требования, предъявляемые к персоналу      1. Для  того  чтобы продемонстрировать соответствие,  организация,утвержденная по АПКР-145,  должна иметь производственный  план  челове-ко-часов,  показывающий, что он включает достаточное количество челове-ко-часов для работ,  которые предполагается выполнить. В случае с орга-низацией, утвержденной по АПКР-145 для базового обслуживания, план дол-жен касаться графика посещения авиационного ангара,  определенного сог-ласно параграфу АПКР145.25(а). Данные планы должны регулярно обновлять-ся.     2. Работы,  выполненные  на  любом  ВС,  зарегистрированном  не поАПКР-145, должны быть приняты во внимание там, где они влияют на произ-водственный план человеко-часов.     3. Качество  мониторинга  производственного  плана  человеко-часовдолжен  быть  достаточным  для  удовлетворения требований АПКР145.65(б)АПКР-145-1.    </w:t>
      </w:r>
      <w:r>
        <w:rPr>
          <w:rFonts w:ascii="Arial" w:cs="Arial" w:eastAsia="Arial" w:hAnsi="Arial"/>
          <w:sz w:val="24"/>
          <w:szCs w:val="24"/>
        </w:rPr>
        <w:t xml:space="preserve">  АПКР145.30с(с) Требования, предъявляемые к персоналу      1. Помимо прочих условий,  требуется, чтобы при определении компе-тенции планировщиков, механиков, квалифицированного обслуживающего пер-сонала,  супервизоров (инспекторов) и инженерно-технического персонала,они  оценивались  по  так  называемому методу "оценки на рабочем месте"и/или любым другим испытанием, соответствующим их специфическому назна-чению в рамках организации, до того как им будет предоставляться самос-тоятельная работа.     2. Для оказания помощи при оценке компетентности работников, реко-мендуется,  чтобы каждая должность имела описание работы в данной орга-низации. В целом, оценка должна установить следующее:     i. Планировщики способны интерпретировать требования по обслужива-нию  в задачах по обслуживанию техники,  и в то же время,  они не имеютникаких полномочий на отклонение от утвержденных данных;     ii. Механики  в состоянии выполнить задачи по обслуживанию техникипо любому стандарту, определенному в утвержденных данных, и что они бу-дут  информировать  супервизоров об ошибках,  требующих исправления длясоответствующего восстановления требуемых стандартов обслуживания;     iii. Квалифицированный  обслуживающий  персонал в состоянии выпол-нить специализированные задачи по обслуживанию на  стандартном  уровне,определенному в инструкциях по обслуживанию,  а в случае, когда не име-ется возможности завершить специализированное обслуживание в  соответс-твии  с утвержденными данными,  персонал должен поставить в известностьсупервизора об этом и затем ждать от него инструкций;     iv. Супервизоры могут гарантировать, что все необходимые задачи пообслуживанию выполнены, а в случае если задача не выполнена или очевид-но,  что специфическая задача по обслуживанию не может быть выполнена всоответствии с утвержденными данными,  о таких проблемах будут  состав-ляться  отчеты  и данные вопросы должны быть согласованы с организациейпо контролю качества;     v. Инженерно-технический персонал в состоянии определить, когда ВСили компоненты ВС готовы к обслуживанию и когда ВС или его узлы не  го-товы к проведению обслуживания.     3. Крайне важно,  чтобы персонал обладал необходимыми знаниями  оборганизационных  процедурах,  касающихся их специфического назначения ворганизации;  особенно это касается  планировщиков,  квалифицированногообслуживающего персонала,  супервизоров и инженерно-технического персо-нала.     </w:t>
      </w:r>
      <w:r>
        <w:rPr>
          <w:rFonts w:ascii="Arial" w:cs="Arial" w:eastAsia="Arial" w:hAnsi="Arial"/>
          <w:sz w:val="24"/>
          <w:szCs w:val="24"/>
        </w:rPr>
        <w:t xml:space="preserve"> АПКР145.30c(d) Требования, предъявляемые к персоналу      1. Обучение инженерно-технического персонала  может  производитьсяорганизацией,  утвержденной  в соответствии с требованиями АПКР-145 илиинститутом, выбранным данной организацией. В любом случае, организация,утвержденная в соответствии с требованиями АПКР-145,  должна установитькак программу и стандарты обучения,  так и предварительные квалификаци-онные стандарты для персонала,  предназначенного для прохождения обуче-ния. Предварительные квалификационные стандарты предназначены для обес-печения гарантии того,  что стажер имеет реальные шансы успешно освоитьлюбой обучающий курс.     2. В  конце каждого курса обучения должны быть организованы прове-рочные экзамены.     3. Начальное обучение должно включать в себя теорию основных прин-ципов проектирования,  соответствующую структуре авиационного каркаса исистемам, приспособленным к классу ВС, которые организация намереваетсяобслуживать;  специфическую информацию относительно  фактического  типаВС,  на котором будет задействован работник и по классу которого он по-лучит соответствующий сертификат,  воздействие  последствий  ремонта  исистемных/структурных дефектов;  процедур компании, соответствующих за-дачам квалифицированного персонала.  Кроме того, квалифицированный пер-сонал должен удовлетворять требованиям касательно опыта работы, которыеопределены в соответствии с текущими национальными правилами авиации.     4. Продолжающееся обучение должно включать в себя изучение измене-ний в соответствующих требованиях,  например АПКР-145, изменений в про-цедурах организации,  модифицированных стандартов изделий, которые былиобслужены,  плюс человеческий фактор.  Обучение должно  также  освещатьслучаи, когда персонал не сумел выполнить установленные процедуры и вы-являть причины,  вследствие которых специфические процедуры  не  всегдасоблюдаются на практике. Во многих случаях продолжающееся обучение лишьукрепит необходимость следования процедурам,  но в некоторых случаях, аименно, когда квалифицированный персонал сможет привести доказательстватого,  что используемая процедура неполная или неправильная, может при-вести к полной замене данной процедуры.     5. Продолжающееся обучение должно быть  достаточной  продолжитель-ности через каждые 2 года,  для того чтобы добиться цели подпункта 1, ипоэтому обучение может быть разбито на множество  отдельных  элементов.Предполагается,  что метод обучения должен быть гибким процессом,  и онмог бы,  например, включать аэронавигационные курсы на уровне колледжа,короткие внутренние курсы, семинары и т.д. Элементы, общее содержание ипродолжительность такого обучения должны быть определены при  изложениипринципов обучения обслуживающей организации,  утвержденной в соответс-твии с требованиями АПКР-145-1.     6. Обслуживающая организация, утвержденная в соответствии с требо-ваниями АПКР-145-1, должна иметь план начального и продолжающегося обу-чения,  которое  включают в себя список всех квалифицированных работни-ков, время, когда будет происходить обучение, элементы такого обучения,а также установления того, что данные курсы были проведены в запланиро-ванные сроки. Как того требуют положения АПКР-145.35(а) АПКР-145-1, та-кая  информация  впоследствии должна быть перемещена в учетные карточкиработников.   </w:t>
      </w:r>
      <w:r>
        <w:rPr>
          <w:rFonts w:ascii="Arial" w:cs="Arial" w:eastAsia="Arial" w:hAnsi="Arial"/>
          <w:sz w:val="24"/>
          <w:szCs w:val="24"/>
        </w:rPr>
        <w:t xml:space="preserve">   АПКР145.35с(а) Записи в учетных карточках квалифицированного                    персонала      1. В   отношении  каждого  квалифицированного  специалиста  должнаиметься следующая минимальная информация:     i. Ф.И.О.;     ii. Дата рождения;     iii. Базовое образование;     iv. Вид обучения;     v. Продолжающееся обучение;     vi. Опыт работы;     vii. Квалификации,  требующие утверждения; Объем полномочий разре-шения;     viii. Дата первого предоставления разрешения;     ix. Если необходимо - дата окончания срока действия разрешения;     х. Идентификационный номер разрешения.     2. Запись может сохраняться в любом формате, но должна контролиро-ваться отделом технического контроля организации. Однако это не означа-ет того,  что Отдел Технического Контроля должен вести  систематическиезаписи.     3. Персонал,  имеющий допуск к обслуживаемым системам, как минимумдолжен  гарантировать,  что отчеты не будут изменяться в несанкциониро-ванной манере или что такие конфиденциальные отчеты не попадут  в  рукиработников, у которых нет такого разрешения.     4. Квалифицированному работнику, в случае просьбы со стороны, сле-дует  предоставить разумную степень доступа к его собственным записям вучетной карточке.     5. Организация должна хранить записи, по крайней мере, еще два го-да после увольнения квалифицированного  работника  из  организации  илипосле отзыва разрешения на допуск,  в зависимости от того, что произой-дет быстрее.  Кроме того,  по просьбе квалифицированного работника  приувольнении из организации,  ему может быть выдана копия документа с та-кими записями.   </w:t>
      </w:r>
      <w:r>
        <w:rPr>
          <w:rFonts w:ascii="Arial" w:cs="Arial" w:eastAsia="Arial" w:hAnsi="Arial"/>
          <w:sz w:val="24"/>
          <w:szCs w:val="24"/>
        </w:rPr>
        <w:t xml:space="preserve">   АПКР145.35с(b) Записи в учетных карточках квалификационного                    персонала      1. Разрешение  должно  быть составлено в форме,  которая предельночетко устанавливает объем полномочий данного квалифицированного  работ-ника  и данные полномочия понятны для любого доверенного лица,  котороеможет потребовать изучения этого документа.  Там,  где при  определенииобъема полномочий используются коды,  под рукой должен находиться доку-мент по расшифровке данных кодов.     2. От квалифицированного персонала не требуется все время носить ссобой разрешение,  однако работник обязан предоставить его  в  разумныйсрок по просьбе доверенного лица. Доверенные лица, кроме работников от-дела технического контроля организации или супервизоров/администраторови составляют Руководящий персонал.   </w:t>
      </w:r>
      <w:r>
        <w:rPr>
          <w:rFonts w:ascii="Arial" w:cs="Arial" w:eastAsia="Arial" w:hAnsi="Arial"/>
          <w:sz w:val="24"/>
          <w:szCs w:val="24"/>
        </w:rPr>
        <w:t xml:space="preserve">   АПКР145.40с(а) Оборудование, Инструменты и Материалы      1. После того как претендент для получения одобрения по требовани-ям АПКР-145-1 определил предполагаемый объем одобрения для рассмотренияДГА,  необходимо показать то,  что все инструменты и оборудование,  какэто определено в утвержденных данных, могут быть доступны при возникно-вении первой необходимости.  Все такие инструменты и оборудование, тре-бующие контроля при проведении обслуживающих работ или калибровки и ко-торые необходимы при измерении определенных габаритов, данных вращающе-го момента и т.д.,  должны быть ясно идентифицированы и  перечислены  вконтрольном журнале,  включая любые персональные инструменты и оборудо-вание,  которое организация соглашается применять на практике. В случаеесли изготовитель определяет специфический инструмент или оборудование,тогда данный инструмент или оборудование должно использоваться для каж-дого  отдельного случая.  Для этой цели разработана отдельная процедурапо выбору альтернативных инструментов/оборудования, которая четко опре-делена в презентационных материалах организации.     2. Доступность оборудования и  инструментальных  средств  означаетпостоянную  готовность  за исключением случаев,  когда какой-либо редкоиспользуемый инструмент или оборудование не требуется иметь в  постоян-ном наличии.     3. Организация,  одобренная для базового обслуживания в  соответс-твии с требованиями АПКР-145, должна иметь соответствующее оборудованиедля осмотра всего ВС,  инспекционные платформы,  стыкующиеся с ВС такимобразом, чтобы была возможность тщательной и полной проверки ВС.     4. Необходимый материал,  требуемый для  выполнения  обязательногообъема  работ,  означает имеющееся в наличии доступное сырье и запасныекомпоненты ВС,  соответствующие рекомендациям изготовителя,  если  самаорганизация  не установила процедуры снабжения и доставки запасных час-тей.    </w:t>
      </w:r>
      <w:r>
        <w:rPr>
          <w:rFonts w:ascii="Arial" w:cs="Arial" w:eastAsia="Arial" w:hAnsi="Arial"/>
          <w:sz w:val="24"/>
          <w:szCs w:val="24"/>
        </w:rPr>
        <w:t xml:space="preserve">  АПКР145.40с(b) Оборудование, Инструменты и Материалы      1. Контроль над этими инструментальными средствами и оборудованиемтребует, чтобы организация имела соответствующую процедуру осмотра/обс-луживания, а там где требуется и процедуру проведения регулярной калиб-ровки,  а  также  организация  обязана указывать пользователю о подходесрока осмотра узла ВС,  калибровки или  обслуживания.  Требуется  иметьчеткую систему маркировки всего инструментария,  оборудования и испыта-тельного оборудования для того,  чтобы иметь необходимую информацию от-носительно того,  когда будет следующий осмотр, обслуживание или калиб-ровка и если узел или компонент не обслуживается, то указывается причи-на.  Журнал должен вестись в отношении всего инструментария точного из-мерения и оборудования совместно с внесением записей о данных калибров-ки и используемых стандартов.     2. Периодический осмотр, обслуживание или калибровка должны прово-диться  в  соответствии  с инструкциями изготовителей оборудования,  заисключением  отдельных  случаев,  когда  организация,   одобренная   поАПКР-145,  по  результатам,  может установить другой промежуток временидля проведения следующего осмотра.   </w:t>
      </w:r>
      <w:r>
        <w:rPr>
          <w:rFonts w:ascii="Arial" w:cs="Arial" w:eastAsia="Arial" w:hAnsi="Arial"/>
          <w:sz w:val="24"/>
          <w:szCs w:val="24"/>
        </w:rPr>
        <w:t xml:space="preserve">   АПКР145.45с(а) Утвержденные данные      1. За исключением случаев, определенных в пункте АПКР-145.45(b)(5)АПКР-145-1,  любая  одобренная  по  АПКР-145  обслуживающая организациядолжна хранить и использовать минимум утвержденных данных, соответству-ющих оценке класса одобрения организации.  Этот минимум данных включаетв себя:     - все обслуживания, касающиеся АПКР-145;     - все временные руководства по обслуживанию;     - публикации, озаглавленные как "Список Организаций АПКР-145";     - все применяемые национальные положения и требования по  проведе-нию обслуживания;     - процедуры или директивы,  а также все соответствующие националь-ные  директивы по летной годности плюс любые международные директивы полетной годности,  предоставленные не национальным оператором или заказ-чиком.     2. В дополнение к пункту 1,  одобренные по АПКР-145  обслуживающиеорганизации  с  классом  одобрения по категории А-ВС,  должны хранить иприменять следующие одобренные и опубликованные данные:     - соответствующие разделы программы обслуживания ВС оператором;     - руководства по обслуживанию ВС;     - руководства по ремонту;     - дополнительный документ по осмотру каркаса ВС;     - документ, определяющий степень подверженности коррозии;     - бюллетени обслуживания;     - символы обслуживания;     - инструкции по обслуживанию;     - кодификационные листки;     - руководство NDT;     - каталог запасных частей;     - типовое свидетельство о наличии данных и любой  другой  специфи-ческий  документ,  выданный в качестве типового свидетельства для одоб-ренных данных, за исключением случаев, когда оператор или заказчик пре-доставит утвержденные данные,  определяющие другой порядок работы,  чемпредусмотрено по АПКР-145.55(с) АПКР-145-1. В этом случае нет необходи-мости в хранении таких одобренных данных.     3. В дополнение к пункту 1,  одобренные по АПКР-145  обслуживающиеорганизации с классом одобрения по категории В - Двигатели, должны хра-нить и использовать следующие одобренные и опубликованные данные:     - соответствующие  разделы  руководств  по  обслуживанию и ремонтудвигателей;     - бюллетени обслуживания;     - символы обслуживания;     - кодификационные листки;     - руководство NDT;     - каталог запасных частей;     - типовое свидетельство о наличии данных и любой  другой  специфи-ческий  документ,  выданный в качестве типового свидетельства для одоб-ренных данных, за исключением случаев, когда оператор или заказчик пре-доставит утвержденные данные,  определяющие другой порядок работы,  чемпредусмотрено по АПКР-145.55(с). В этом случае нет необходимости в хра-нении таких одобренных данных.     4. В дополнение к подпункту 1,  одобренные обслуживающие организа-ции  АПКР-145 с классом одобрения по категории С - Узлы,  не входящие вкомплекты двигателей,  должны хранить и использовать следующие одобрен-ные и опубликованные данные:     - соответствующие разделы руководств продавца  по  обслуживанию  иремонту;     - бюллетени обслуживания;     - символы  обслуживания плюс любые документы,  выданные держателемтипового сертификата типа в качестве одобренных данных на узлы, которыемогут подойти, за исключением случаев, когда такие данные нет необходи-мости постоянно хранить или когда определен другой  порядок  работы  посравнению с требованиями АПКР-145.55(с).     Соответствующие разделы  пунктов  2-4  "дополнительные  одобренныеданные"  означает  объем  текущих работ по обслуживанию.  Иначе говоря,например,  базовый обслуживающий объект должен иметь почти полный пакетодобренных данных, в то время как линейный объект обслуживания нуждает-ся только в руководстве по обслуживанию и каталоге запасных частей.     5. Одобренные обслуживающие организации АПКР-145 с классом одобре-ния только по категории D - специализированные услуги, должны хранить ииспользовать  следующие  опубликованные  одобренные данные,  касающиесяспециализированного обслуживания, определенного в утвержденном графике:     - Спецификации АПКР-145, а также спецификации по процессу проведе-ния специализированного обслуживания, за исключением случаев, когда та-кие данные нет необходимости постоянно хранить или когда определен дру-гой порядок работы по сравнению с  требованиями  АПКР145.55с  настоящихправил.   </w:t>
      </w:r>
      <w:r>
        <w:rPr>
          <w:rFonts w:ascii="Arial" w:cs="Arial" w:eastAsia="Arial" w:hAnsi="Arial"/>
          <w:sz w:val="24"/>
          <w:szCs w:val="24"/>
        </w:rPr>
        <w:t xml:space="preserve">   АПКР145.45с(b) Одобренные данные      Ссылочная процедура  должна  касаться необходимости в практическомпоказе квалифицированными специалистами механиками  предлагаемых  изме-ненных  инструкций  по обслуживанию.  Квалифицированный персонал долженодобрить или не одобрить измененную инструкцию по обслуживанию и  затемгарантировать,  что  в типовой сертификат введены изменения или что до-полнительный держатель сертификата информирован об измененной  инструк-ции по обслуживанию.  Процедура должна включать бумажную либо электрон-ную регистрацию всего процесса от начала до конца и должна обеспечиватьотражение  соответствующей инструкцией по обслуживанию внесенных допол-нительных изменений.  Измененные инструкции по обслуживанию должны  ис-пользоваться лишь в следующих обстоятельствах:     1. Когда требования типового сертификата или  держателя  оригиналатипового сертификата могут выполняться в более практичной или более эф-фективной манере.     2. Когда  требования  типового сертификата или держателя оригиналатипового сертификата невозможно выполнить, следуя инструкциям по обслу-живанию.  Например,  когда  узел не может быть заменен,  если следоватьпервоначальным инструкциям по обслуживанию.     3. Для использования альтернативных инструментов, оборудования.   </w:t>
      </w:r>
      <w:r>
        <w:rPr>
          <w:rFonts w:ascii="Arial" w:cs="Arial" w:eastAsia="Arial" w:hAnsi="Arial"/>
          <w:sz w:val="24"/>
          <w:szCs w:val="24"/>
        </w:rPr>
        <w:t xml:space="preserve">   АПКР145.45с(с) Одобренные данные      1. Хранить  данные  вплоть  до  даты установки процедуры,  котораяпредназначается для изучения измененных данных и обеспечивает  проверкувсех полученных абонентом дополнительных изменений к любой схеме редак-ции документа.     2. Данные,  доступные  для персонала,  проводящего обслуживание ВСозначают,  что эти данные должны храниться в непосредственной  близостиот обслуживаемого ВС и они предназначаются для супервизоров,  механикови квалифицированных специалистов.     3. Там,  где используются компьютерные системы,  количество компь-ютерных терминалов должно соответствовать объему  программы  работы,  сцелью  предоставления свободного доступа,  если компьютеры не могут да-вать бумажную распечатку данных.  Там, где используются микрофильмы илипринтеры, применяется такое же требование.    </w:t>
      </w:r>
      <w:r>
        <w:rPr>
          <w:rFonts w:ascii="Arial" w:cs="Arial" w:eastAsia="Arial" w:hAnsi="Arial"/>
          <w:sz w:val="24"/>
          <w:szCs w:val="24"/>
        </w:rPr>
        <w:t xml:space="preserve">  АПКР145.50с(а) Сертификация обслуживания      1. Разрешение  к  эксплуатации ВС необходимо перед полетом при за-вершении любого комплекса работ по обслуживанию,  планируемого в  соот-ветствии с утвержденной программой обслуживания ВС, независимо от того,какое это обслуживание - базовое или линейное.     2. Разрешение  к  эксплуатации ВС необходимо перед полетом при за-вершении любой операции по исправлению дефектов,  пока ВС выполняет по-леты между планируемым обслуживанием ВС.     3. Разрешение к эксплуатации узла ВС необходимо при окончании  лю-бого обслуживания узла ВС, пока он снят с ВС.     4. Утвержденное Разрешение на летную годность требует наличия Раз-решения на эксплуатацию после обслуживания узла ВС,  когда одна органи-зация,  утвержденная по АПКР-145, проводит обслуживание данного узла ВСдля другой организации, утвержденной по АПКР-145.    </w:t>
      </w:r>
      <w:r>
        <w:rPr>
          <w:rFonts w:ascii="Arial" w:cs="Arial" w:eastAsia="Arial" w:hAnsi="Arial"/>
          <w:sz w:val="24"/>
          <w:szCs w:val="24"/>
        </w:rPr>
        <w:t xml:space="preserve">  АПКР145.50с(b) Сертификация обслуживания      1. Разрешение  на эксплуатацию ВС после обслуживания должно содер-жать следующее:     2. Удостоверение в том,  что требуемая работа, если не установленоиной, была выполнена в соответствии с положениями АПКР-145, и эти рабо-ты касаются случаев, когда узел ВС готов к проведению обслуживания.     3. Разрешение на эксплуатацию ВС после обслуживания должно касать-ся задачи, определенной в инструкции для эксплуатанта или в инструкцияхизготовителя или в программе по обслуживанию ВС, которая непосредствен-но  может пересекаться с инструкциями производителя либо эксплуатанта вруководстве по проведению обслуживания, бюллетенями обслуживания и т.д.     4. Информация о дне проведения такого обслуживания должна включатьсведения о том,  когда имело место обслуживание,  продолжительность илиограничения капитального ремонта в соответствии с условиями даты,  лет-ных часов, циклов, посадок и т.д.     5. После проведения обширного обслуживания разрешается, что Серти-фикат допуска к эксплуатации ВС после такого обслуживания может  содер-жать  краткое  описание обслуживания,  при наличии ссылки на документ сописанием комплекса работ,  и содержащим полное описание деталей прове-денного  обслуживания.  Информация  о  размерах ТО должна сохраняться вкарточке описания комплекса работ по обслуживанию.     6. Работник, выдающий Разрешение на эксплуатацию ВС после проведе-ния обслуживания,  должен ставить свою собственную чернильную  подпись,за исключением случаев,  когда используется компьютерный допуск на про-ведение обслуживания.  В этом случае назначается специальный  работник,имеющий  право на выдачу электронного разрешения на обслуживание.  Одиниз методов - использование магнитной или оптической  персональной  кар-точки вместе с персональным идентификационным номером, который известентолько работнику, который несет ответственность за выдачу компьютерногодопуска. Штамп о сертификации не является обязательным условием.   </w:t>
      </w:r>
      <w:r>
        <w:rPr>
          <w:rFonts w:ascii="Arial" w:cs="Arial" w:eastAsia="Arial" w:hAnsi="Arial"/>
          <w:sz w:val="24"/>
          <w:szCs w:val="24"/>
        </w:rPr>
        <w:t xml:space="preserve">   АПКР145.55с(а) Записи о проведении работ по обслуживанию      Должным образом выполненные и сохраненные отчеты обеспечивают вла-дельцев,  эксплуатантов и обслуживающий персонал информацией, необходи-мой для контроля незапланированных и плановых работ по обслуживанию,  атакже информацией о возникающих проблемах, зная которые можно устранитьпотребность во вторичном осмотре ВС и обслуживании при определении лет-ной годности того или иного ВС. При выставлении счет-фактуры необходимодоказать,  что все требования удовлетворяли положениям по выдаче Разре-шения на эксплуатацию ВС после обслуживания,  а также требуется хранитьдокументы субподрядчика на выдачу разрешения на обслуживание.     1. Некоторые газотурбинные двигатели собраны из модулей,  и  дейс-твительное суммарное время обслуживания всего двигателя не сохраняется.В случае, когда владельцы и эксплуатанты желают воспользоваться преиму-ществами модульной конструкции, им необходимо вести учет общего времениобслуживания и данные по обслуживанию каждого отдельного модуля. Записиоб обслуживании,  как это определено, должны храниться вместе с модулеми должны показывать соответствие любым обязательным требованиям,  имею-щим отношение к данному модулю.     2. Восстановление утерянных или неполных отчетов может быть выпол-нено  посредством ссылок на другие записи,  отражающие время обслужива-ния,  изучения записей о работе ремонтного оборудования,  а также  пос-редством отсылки к записям отдельных механиков и т.д.  Если и после вы-полнения данных шагов,  если данных все еще не хватает,  владелец (экс-плуатант) может сделать новую запись,  которая описывает утерянные дан-ные и устанавливает время обслуживания, основываясь на результатах исс-ледования и расчета общего времени обслуживания. Восстановленные данныедолжны передаваться на утверждение Органу Управления.     3. Запись  об обслуживании может быть сделана как письменно на бу-маге,  так и посредством ввода данных в память компьютера,  или  же  ихкомбинацией.     4. Письменные записи должны выполняться  на  качественной  бумаге,которая не рвется и может храниться в течение длительного времени.  За-писи должны остаться четкими и разборчивыми  в  течение  установленноговремени хранения этих записей.     5. Могут использоваться компьютерные системы для контроля процессаобслуживания и записи деталей работ текущего обслуживания. Используемыекомпьютерные системы должны иметь по крайней мере одну резервную систе-му,  которая  должна периодически обновляться по крайней мере каждые 24часа любого типа  обслуживания.  Каждый  компьютерный  терминал  должениметь  программную  защиту против доступа к банку данных несанкциониро-ванного персонала, у которого нет полномочий на изменение базы данных.   </w:t>
      </w:r>
      <w:r>
        <w:rPr>
          <w:rFonts w:ascii="Arial" w:cs="Arial" w:eastAsia="Arial" w:hAnsi="Arial"/>
          <w:sz w:val="24"/>
          <w:szCs w:val="24"/>
        </w:rPr>
        <w:t xml:space="preserve">   АПКР145.55с(b) Записи о проведении работ по обслуживанию      Параграф, не требующий пояснений.  Он устанавливает, что организа-ция, утвержденная в соответствии с АПКР-145, должна выдать эксплуатантуРазрешение на эксплуатацию ВС после обслуживания,  включая описание ос-новных деталей выполненного обслуживания, в то время как АПКР-145.55(в)АПКР-145-1 требует от организации,  утвержденной по  АПКР-145,  хранитьвсе записи о проведенном обслуживании.   </w:t>
      </w:r>
      <w:r>
        <w:rPr>
          <w:rFonts w:ascii="Arial" w:cs="Arial" w:eastAsia="Arial" w:hAnsi="Arial"/>
          <w:sz w:val="24"/>
          <w:szCs w:val="24"/>
        </w:rPr>
        <w:t xml:space="preserve">   АПКР145.55с(с) Записи о проведении работ по обслуживанию      1. Отчеты должны храниться в безопасном месте,  защищенном от воз-горания, наводнения и воровства.     2. Компьютерные резервные диски, ленты и т.д. должны храниться от-дельно от рабочих дисков лент,  и в условиях,  гарантирующих  продолжи-тельное хранение.     3. Когда организация,  утвержденная по АПКР-145,  завершает работыпо  обслуживанию,  все хранящиеся в течение последних 2-х лет данные пообслуживанию, должны быть переданы последнему владельцу (клиенту) соот-ветствующего ВС или узла ВС. Если обнаружить владельца (клиента) невоз-можно, то отчеты по обслуживанию должны быть сохранены в соответствии стребованиями АПКР-145-1.   </w:t>
      </w:r>
      <w:r>
        <w:rPr>
          <w:rFonts w:ascii="Arial" w:cs="Arial" w:eastAsia="Arial" w:hAnsi="Arial"/>
          <w:sz w:val="24"/>
          <w:szCs w:val="24"/>
        </w:rPr>
        <w:t xml:space="preserve">   АПКР145.60с Отчетность о непригодности к полетам      Касается организаций,  утвержденных в соответствии с АПКР-145. Ус-ловия,  которые могли бы серьезно ухудшить  техническое  состояние  ВС,обычно сводятся к следующему:     1. Серьезные трещины,  постоянная деформация, следы возгорания илисерьезная коррозия каркаса, обнаруженные в течение проведения плановогообслуживания ВС, двигателя или роторной системы вертолета.     2. Отказ любой аварийной системы во время проведения планового ис-пытания.     АПЭКС определяет другие условия,  о которых эксплуатант обязан со-общать.     ДГА может  потребовать предоставления других специфических непола-док во время обслуживания в соответствии с положениями директив  летнойгодности.    </w:t>
      </w:r>
      <w:r>
        <w:rPr>
          <w:rFonts w:ascii="Arial" w:cs="Arial" w:eastAsia="Arial" w:hAnsi="Arial"/>
          <w:sz w:val="24"/>
          <w:szCs w:val="24"/>
        </w:rPr>
        <w:t xml:space="preserve">  АПКР145.65с(а) Процедуры обслуживания и системы контроля качества      1. Процедуры обслуживания должны охватывать все аспекты выполненияработ по обслуживанию, и в действительности данные процедуры устанавли-вают  стандарты,  по которым должна работать обслуживающая организация.Во внимание должны быть приняты стандарты  организации,  осуществляющейпроектирование ВС, узлов ВС, а также стандарты эксплуатанта ВС.     2. Процедуры по проведению обслуживания должны касаться требованийпараграфов  от  АПКР-145.25 до 145.60 АПКР-145-1 включительно,  а такжеограничения требований параграфов от АПКР-145.75 до  145.95  АПКР-145-1включительно.   </w:t>
      </w:r>
      <w:r>
        <w:rPr>
          <w:rFonts w:ascii="Arial" w:cs="Arial" w:eastAsia="Arial" w:hAnsi="Arial"/>
          <w:sz w:val="24"/>
          <w:szCs w:val="24"/>
        </w:rPr>
        <w:t xml:space="preserve">   АПКР145.65с(b) Процедуры обслуживания и системы контроля качества      1. Основные цели системы контроля качества должны дать возможностьобслуживающей организации, утвержденной по АПКР-145, гарантировать, чтоона  может  заниматься  поставкой безопасных изделий и что организация,утвержденная по АПКР-145, полностью соответствует всем требованиям.     2. В  системе  контроля  качества есть два существенных элемента -это независимая ревизия, и контроль систем слежения.     3. Независимая  ревизия - это объективный процесс проведения типо-вых проверок всех аспектов обслуживающей организации,  утвержденной  поАПКР-145, по проведению обслуживания по установленным стандартам. Такжеона включает изучение некоторых образцов изделий,  поскольку именно ониявляются  конечным  результатом процесса обслуживания.  Он представляетсобой объективный краткий обзор всего процесса обслуживания и  предназ-начается  для дополнения требования параграфа АПКР145.50(а) АПКР-145-1,которое позволяет квалифицированному персоналу  удостовериться  в  том,что  необходимое обслуживание было проведено правильно до выдачи серти-фиката о проведении обслуживания.  Независимые ревизии должны  включитьпроцент от выборочных ревизий, выполненных на типовых образцах при про-ведении обслуживания.  Это означает,  что в отношении тех  организаций,которые  работают  в  ночное время,  ревизии также проводились в ночноевремя.     4. За исключением случаев, определенных в пунктах 7 и 9, независи-мая  ревизия  должна  гарантировать,  чтобы  все   аспекты   требованийАПКР-145-1  проходили  проверку  каждые 12 месяцев.  Ревизия может бытьпроведена как разовая комплексная проверка,  но может быть  разбита  на12-месячный цикл в соответствии с разработанным планом. Независимая ре-визия не требует,  чтобы каждая процедура проверялась по каждой  произ-водственной  линии,  когда можно показать,  что специфическая процедураявляется общей для нескольких производственных линий,  и процедура про-верялась каждые 12 месяцев без какого-либо результативного обнаружения.Те процедуры,  в которых было что-либо обнаружено, должны повторно про-веряться  в  сравнении  с другими производственными линиями до тех пор,пока результаты не будут исправлены, после чего независимая контрольнаяпроцедура  может  вновь  возвратиться к 12-месячному графику проведенияспецифической процедуры.     5. За  исключением случаев,  определенных в пункте 7,  независимаяревизия должна проводить шаблонные проверки одного  изделия  на  каждойпроизводственной  линии через каждые 12 месяцев в качестве демонстрацииэффективности соответствия процедур обслуживания. Рекомендуется объеди-нить процедуры и проверки изделий посредством отбора определенного шаб-лона изделия,  типа ВС, двигателя или приборов, шаблонной проверки всехпроцедур и требований,  имеющие отношение к определенному образцу изде-лия,  для обеспечения того,  чтобы конечный результат определял  летнуюгодность изделия.     6. Специально для независимой ревизии,  производственная линия мо-жет  включать любое изделие по классу одобрения,  как это установлено вутвержденном графике АПКР-145, выданному соответствующей организации.     7. Таким образом, это означает, что обслуживающая организация, ут-вержденная по АПКР-145,  с производственными  мощностями,  позволяющимипроводить обслуживание ВС,  ремонт двигателей, тормозных систем и авто-пилотов, будет обязана проходить 4 контрольные типовые проверки ежегод-но, если иного не определено в пунктах 5, 7 или 9.     8. Типовая проверка изделия  означает  освидетельствование  любогоиспытания,  визуальный  осмотр изделия и сопроводительной документации.Типовая проверка не должна включать повторный демонтаж  или  проведениеиспытания до тех пор,  пока стандартная проверка не идентифицирует дан-ные результаты как требующие проведения вышеперечисленных действий.     9. Самая  маленькая  обслуживающая  организация,  утвержденная  поАПКР-145, а именно с максимальным количеством персонала 10 человек, ак-тивно занятых в проведении работ по обслуживанию, выбирает на контракт-ной основе независимую аудиторскую компанию, которая будет осуществлятьпроверку систем контроля в соответствии с АПКР-145.65(б) АПКР-145-1,  иэто обязательное условие в дополнение к плановым двухразовым  проверкамкаждые 12 месяцев.     10. За исключением случаев, определенных в пункте 9, если обслужи-вающая организация,  утвержденная по АПКР-145, имеет в наличии линейныепосты,  согласно АПКР-145.75(d)  АПКР-145-1,  система  контроля  должнаиметь данные об их подсоединении к системе, а также включает планы про-ведения проверок каждого зарегистрированного поста с  таким  интерваломвремени,  который  бы соответствовал частоте полетов на данном линейномпосту.  За исключением случаев,  определенных в пункте 9,  максимальныйпериод  времени  между проверками каждого отдельного линейного поста недолжен превышать 24 месяца.     11. Если обслуживающая организация, утвержденная по АПКР-145, име-ет хорошую хронологическую регистрацию исправления обнаруженных поломокс полной гарантией обеспечения безопасности, то в этом случае ДГА можетдать согласие на увеличение контрольных интервалов времени,  определен-ных в АПКР-145.65(b) АПКР-145-1.     12. Отчет должен быть в наличии каждый раз,  когда проводится про-верка, и он должен содержать описание того, что было проверено. Резуль-таты об обнаруженных недостатках сравниваются с соответствующими требо-ваниями,  процедурами и изделиями.  Отчет должен быть отослан соответс-твующему отделу(ам) для выполнения действий, направленных на устранениенедостатков,  предоставляя при этом дату последнего обслуживания.  Датыустранения недостатков должны быть согласованы с соответствующими отде-лами до того, как отдел контроля или назначенный проверяющий зафиксиру-ет эти даты в отчете. В соответствии с АПКР-145, соответствующие отделыдолжны  исправлять недостатки и сообщать о них отделу контроля качестваили назначенному проверяющему за качеством восстановленного изделия.     13. Независимость  проверок  должна  быть  установлена посредствомобеспечения того,  что проверки проводятся персоналом, которые не несутответственность за функции,  процедуры или проверяемые изделия.  Отсюдаследует,  что  большая  обслуживающая  организация,   утвержденная   поАПКР-145, с численностью персонала более 500 человек, должна иметь спе-циальную группу контроля качества,  чья единственная функция должна бу-дет заключаться в проведении проверок,  изучении отчетов по обнаружениюнедостатков и ведению контроля за их исправлением.  Средняя обслуживаю-щая организация, утвержденная по АПКР-145, с численностью персонала ме-нее 500 человек, может использовать компетентный персонал из одного от-дела,  не ответственного за производственные функции, процедуры или из-делия, для проведения проверки отдела, который несет ответственность закомплексное планирование и его внедрение и который находится под управ-лением менеджера по контролю качества.  Обслуживающая организация,  ут-вержденная  по АПКР-145,  с численностью персонала максимум 10 человек,активно занятых в выполнении работ по обслуживанию, может заключить не-зависимый договор на проведение контроля качества с обслуживающей орга-низацией, утвержденной по АПКР-145, или с компетентным лицом.     14. Менеджмент  контроля систем слежения - это второй элемент сис-темы контроля качества и поэтому контракт не может заключаться с посто-ронними людьми.  Основная функция должна обеспечивать то, чтобы все об-наруженные независимой проверкой недостатки своевременно  исправлялись,а  также  то,  что ответственный администратор полностью информирован остепени соответствия положениям АПКР-145 и  технике  безопасности.  От-ветственный  администратор должен проводить регулярные встречи с персо-налом,  для проверки хода работ по исправлению недостатков.  Исключениесоставляют большие организации, где такие встречи могут проводиться ме-неджером отдела контроля качества ежедневно, подчиняющегося ответствен-ному  менеджеру,  который в свою очередь встречается,  по крайней мере,один раз в год,  с руководящим персоналом для ознакомления с общим сос-тоянием производственного процесса. В самых маленьких обслуживающих ор-ганизациях,  утвержденных по АПКР-145, где нет возможности установленияотдела  контроля  качества,  менеджмент  систем слежения может осущест-вляться квалифицированными специалистами или ответственным менеджером.     15. Все отчеты,  имеющие отношение к независимой проверке качестваи менеджмента систем слежения, должны храниться, по крайней мере, 2 го-да  после  даты  исправления недостатков или до таких периодов времени,которые поддерживают программу эскалации пункта 9.   </w:t>
      </w:r>
      <w:r>
        <w:rPr>
          <w:rFonts w:ascii="Arial" w:cs="Arial" w:eastAsia="Arial" w:hAnsi="Arial"/>
          <w:sz w:val="24"/>
          <w:szCs w:val="24"/>
        </w:rPr>
        <w:t xml:space="preserve">   АПКР145.70с Руководство по техническому обслуживанию      1. Цель Руководства по техническому обслуживанию обслуживающей ор-ганизации заключается в установке процедур, средств и методов Организа-ции.     2. Соответствие с его содержанием обеспечивает соответствие требо-ваниям АПКР-145, что в свою очередь является предпосылкой к получению ихранению утвержденного сертификата обслуживающей организации.     3. Положения АПКР-145.70 от (а)(1) до (а)(10) АПКР-145-1 определя-ют часть, касающуюся менеджмента обслуживающей организации, и, следова-тельно, они могли бы быть составлены как один документ, и быть приемле-мыми для АПКР-145.30(а) АПКР-145-1, или назначенного работника, которыйдолжен быть хорошо знаком с содержанием документа.  Список квалифициро-ванного персонала может быть разработан как отдельный документ.     4. Положения АПКР-145.70 (а)(11) и (а)(12) АПКР-145-1 устанавлива-ют  рабочие процедуры организации,  а значит,  устанавливают количестворуководств по отдельным процедурам,  и при этом необходимо помнить, чтоэти  документы должны ссылаться на Руководство по техническому обслужи-ванию обслуживающей организации.     5. Предполагается,  что персонал будет знаком с теми частями Руко-водства,  которые соответствуют выполняемому объему текущего обслужива-ния.     6. Обслуживающая  организация,  утвержденная  по  АПКР-145,  будетдолжна определить в своих материалах, кто должен дополнять руководства,особенно в случае, когда имеется несколько частей.     7. Менеджер  по  контролю качества не должен нести ответственностьза текущий контроль публикаций обслуживающей организации, включая соот-ветствующие  руководства по проведению процедур и передачу предложенныхизменений ДГА, если упомянутое ДГА соглашается на применение процедуры,определенной  в дополнительном разделе материалов обслуживающей органи-зации,  и устанавливающий,  что определенный класс изменений может бытьвключен без предварительного одобрения ДГА.     8. Следовательно, на практике Руководства по техническому обслужи-ванию обслуживающей организации должны охватить четыре основные части.     Менеджмент обслуживающей организации включает части,  определенныеранее.     Процедуры обслуживания,  включающие все аспекты того,  как узлы ВСмогут  быть приобретены из внешних источников,  и как ВС будет обслужи-ваться на требуемом, стандартном уровне.     Процедуры системы контроля качества,  включая методы работы квали-фицированных механиков,  проверки  инженерно-технического  персонала  иперсонала отдела контроля качества.     Контроль проведения процедур и выполнения бумажных работ  эксплуа-тантом в соответствии с АП-ЭКС.     Выступление ответственного менеджера должно охватить задачу следу-ющего  параграфа и фактически такое одобрение может применяться без ре-дакции,  а любая модификация не должна изменить задачу данного парагра-фа.     Руководства по техническому обслуживанию определяет организацию  ипроцедуры, на которые требуется получить утверждение по АПКР-145.     Эти процедуры одобрены нижеподписавшимися, и они должны выполнять-ся,  если применяются, когда работа выполнялась для получения одобренияпо АПКР-145.     Принято, что  эти  процедуры  не отменяют потребность в выполнениилюбых новых или редактируемых правил,  публикуемых время от времени,  игде  эти  новые или редактируемые правила находятся в конфликте с уста-новленными процедурами.     Предполагается, что  ДГА будет поддерживать эту организацию до техпор,  пока удовлетворен качеством проводимых процедур по обслуживанию иремонту. Далее понимается, что Управление сохраняет за собой право при-остановить, изменить или отменить утверждение обслуживающей организациипо АПКР-145,  если ДГА располагает доказательствами того, что не соблю-даются некоторые процедуры обслуживания и не хранятся  некоторые  стан-дарты.     Подписано ________________________________________________________     Дата подписания __________________________________________________     Ответственный менеджер (должность) для и от имени (название  орга-низации).     Каждый раз при замене ответственного менеджера,  важно обеспечить,чтобы  новый  ответственный менеджер подписал обязательство параграфа 9утверждения при первом удобном случае в качестве его признания ДГА.     Отказ выполнить данное действие может лишить законной силы одобре-ние по АПКР-145.     Когда организация утверждена против любых других АПКР, которые со-держат требование по предоставлению объяснения,  дополнений, разъясняю-щих разногласия, она должна удовлетворять данным требованиям, за исклю-чением того, что дополнение должно иметь индекс, указывающий места, гдеописываются отсутствующие части.   </w:t>
      </w:r>
      <w:r>
        <w:rPr>
          <w:rFonts w:ascii="Arial" w:cs="Arial" w:eastAsia="Arial" w:hAnsi="Arial"/>
          <w:sz w:val="24"/>
          <w:szCs w:val="24"/>
        </w:rPr>
        <w:t xml:space="preserve">   АПКР145.80с Ограничения, касающиеся утвержденной организации                 по проведению обслуживания      Этот параграф предназначается для описания ситуации, когда большаяорганизация АПКР-145 может временно не хранить весь необходимый инстру-мент,  оборудование и т.д.  для определенного типа ВС или его варианта,определенного  для  одобрения обслуживающей организации.  Этот параграфозначает, что ДГА не требуется дополнительное одобрение на удаление ти-па ВС или его варианта на основании того,  что это временная ситуация иорганизация прилагает определенные  усилия  на  вторичное  приобретениеинструментов,  оборудования и т.д., прежде чем можно будет приступить квозобновлению работ по обслуживанию.   </w:t>
      </w:r>
      <w:r>
        <w:rPr>
          <w:rFonts w:ascii="Arial" w:cs="Arial" w:eastAsia="Arial" w:hAnsi="Arial"/>
          <w:sz w:val="24"/>
          <w:szCs w:val="24"/>
        </w:rPr>
        <w:t xml:space="preserve">   АПКР145.85с Изменения для утвержденной организации      Основная цель этого параграфа состоит в том,  чтобы  дать  возмож-ность организации остаться утвержденной,  если согласовано с ДГА, в те-чение переговоров,  относительно любого из определенных изменений.  Безэтого  параграфа,  утверждение  было бы автоматически приостановлено вовсех случаях.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z58d6phudquk6hwz84e">
      <w:r>
        <w:rPr>
          <w:rFonts w:ascii="Arial" w:cs="Arial" w:eastAsia="Arial" w:hAnsi="Arial"/>
          <w:color w:val="132D3F"/>
          <w:sz w:val="16"/>
          <w:szCs w:val="16"/>
          <w:u w:val="single"/>
        </w:rPr>
        <w:t xml:space="preserve">dalil.kg/document/300278</w:t>
      </w:r>
    </w:hyperlink>
  </w:p>
  <w:p>
    <w:pPr>
      <w:spacing w:after="0" w:before="40"/>
      <w:jc w:val="center"/>
    </w:pPr>
    <w:hyperlink w:history="1" r:id="rIdoqqhcwcleiiy77pm56i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f6up7olpsr8afj1jzrp" Type="http://schemas.openxmlformats.org/officeDocument/2006/relationships/hyperlink" Target="https://dalil.kg/document/202591" TargetMode="External"/><Relationship Id="rId0i1wca5lxit81c6celnd7" Type="http://schemas.openxmlformats.org/officeDocument/2006/relationships/hyperlink" Target="https://dalil.kg/document/300277" TargetMode="External"/><Relationship Id="rIdjackp4srtaz63uh--uzfg" Type="http://schemas.openxmlformats.org/officeDocument/2006/relationships/hyperlink" Target="https://dalil.kg/document/300278#1" TargetMode="External"/><Relationship Id="rIdxwnvg3tkosuqylws-lhuk" Type="http://schemas.openxmlformats.org/officeDocument/2006/relationships/hyperlink" Target="https://dalil.kg/document/300278#2" TargetMode="External"/><Relationship Id="rIdkrxo9gdpr5q7xlce-vqny" Type="http://schemas.openxmlformats.org/officeDocument/2006/relationships/hyperlink" Target="https://dalil.kg/document/300278#3" TargetMode="External"/><Relationship Id="rIdqn0p3nu5yk31dnsmeim96" Type="http://schemas.openxmlformats.org/officeDocument/2006/relationships/hyperlink" Target="https://dalil.kg/document/300278#4" TargetMode="External"/><Relationship Id="rIdnqsjoojkacuz_ihosknhh" Type="http://schemas.openxmlformats.org/officeDocument/2006/relationships/hyperlink" Target="https://dalil.kg/document/300278#5" TargetMode="External"/><Relationship Id="rId_q5il3nmiseuyfe_wyt9n" Type="http://schemas.openxmlformats.org/officeDocument/2006/relationships/hyperlink" Target="https://dalil.kg/document/300278#6" TargetMode="External"/><Relationship Id="rIddxjitcnwvv2gzwbwdpu_p" Type="http://schemas.openxmlformats.org/officeDocument/2006/relationships/hyperlink" Target="https://dalil.kg/document/300278#7" TargetMode="External"/><Relationship Id="rIdlvop89smwbmwbjpgwux8j" Type="http://schemas.openxmlformats.org/officeDocument/2006/relationships/hyperlink" Target="https://dalil.kg/document/300278#8" TargetMode="External"/><Relationship Id="rIdmmofmj57rrij4thvubfcq" Type="http://schemas.openxmlformats.org/officeDocument/2006/relationships/hyperlink" Target="https://dalil.kg/document/300278#9" TargetMode="External"/><Relationship Id="rIdvdjlsgqgvy_hzvva0kdyl" Type="http://schemas.openxmlformats.org/officeDocument/2006/relationships/hyperlink" Target="https://dalil.kg/document/300278#10" TargetMode="External"/><Relationship Id="rIdmmdz0jz7a915f--2beqjm" Type="http://schemas.openxmlformats.org/officeDocument/2006/relationships/hyperlink" Target="https://dalil.kg/document/300278#11" TargetMode="External"/><Relationship Id="rIdcx1fsia2yo4ufe-k2ebx3" Type="http://schemas.openxmlformats.org/officeDocument/2006/relationships/hyperlink" Target="https://dalil.kg/document/300278#12" TargetMode="External"/><Relationship Id="rIdnhj_wf26ouiqpzpfgauq4" Type="http://schemas.openxmlformats.org/officeDocument/2006/relationships/hyperlink" Target="https://dalil.kg/document/300278#13" TargetMode="External"/><Relationship Id="rIdiq5t01j7eonkuv636q_gp" Type="http://schemas.openxmlformats.org/officeDocument/2006/relationships/hyperlink" Target="https://dalil.kg/document/300278#14" TargetMode="External"/><Relationship Id="rIdzisvggeju8elceonjunz-" Type="http://schemas.openxmlformats.org/officeDocument/2006/relationships/hyperlink" Target="https://dalil.kg/document/300278#15" TargetMode="External"/><Relationship Id="rIdbzkilk4wadksx76mmq4jj" Type="http://schemas.openxmlformats.org/officeDocument/2006/relationships/hyperlink" Target="https://dalil.kg/document/300278#16" TargetMode="External"/><Relationship Id="rIdlxxwsd5bxlgyphvwrgvpb" Type="http://schemas.openxmlformats.org/officeDocument/2006/relationships/hyperlink" Target="https://dalil.kg/document/300278#17" TargetMode="External"/><Relationship Id="rIdewr9xmbbxb52_j0b6stfy" Type="http://schemas.openxmlformats.org/officeDocument/2006/relationships/hyperlink" Target="https://dalil.kg/document/300278#18" TargetMode="External"/><Relationship Id="rIdbs4zex0jydl_8j2pwym8s" Type="http://schemas.openxmlformats.org/officeDocument/2006/relationships/hyperlink" Target="https://dalil.kg/document/300278#19" TargetMode="External"/><Relationship Id="rIdfwxksso3g1iptp0pgcbf5" Type="http://schemas.openxmlformats.org/officeDocument/2006/relationships/hyperlink" Target="https://dalil.kg/document/300278#20" TargetMode="External"/><Relationship Id="rIdimhfkegx2grqawxd1b2-z" Type="http://schemas.openxmlformats.org/officeDocument/2006/relationships/hyperlink" Target="https://dalil.kg/document/300278#21" TargetMode="External"/><Relationship Id="rId3ivnjoanltmux32053b7x" Type="http://schemas.openxmlformats.org/officeDocument/2006/relationships/hyperlink" Target="https://dalil.kg/document/300278#22" TargetMode="External"/><Relationship Id="rIdgliz0vp1qgcfidxizwrwq" Type="http://schemas.openxmlformats.org/officeDocument/2006/relationships/hyperlink" Target="https://dalil.kg/document/300278#23" TargetMode="External"/><Relationship Id="rId45fdi7al3v_zims_j15sc" Type="http://schemas.openxmlformats.org/officeDocument/2006/relationships/hyperlink" Target="https://dalil.kg/document/300278#24" TargetMode="External"/><Relationship Id="rIdmw9nqz_08d18-1pyco4gw" Type="http://schemas.openxmlformats.org/officeDocument/2006/relationships/hyperlink" Target="https://dalil.kg/document/300278#25" TargetMode="External"/><Relationship Id="rIdsia-6yrox6chejtuf-xay" Type="http://schemas.openxmlformats.org/officeDocument/2006/relationships/hyperlink" Target="https://dalil.kg/document/300278#26" TargetMode="External"/><Relationship Id="rIdvi0fquiytuopktkcmzqah" Type="http://schemas.openxmlformats.org/officeDocument/2006/relationships/hyperlink" Target="https://dalil.kg/document/300278#27" TargetMode="External"/><Relationship Id="rIdumhkkz2mvd5cz-7hzmdrd" Type="http://schemas.openxmlformats.org/officeDocument/2006/relationships/hyperlink" Target="https://dalil.kg/document/300278#28"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z58d6phudquk6hwz84e" Type="http://schemas.openxmlformats.org/officeDocument/2006/relationships/hyperlink" Target="https://dalil.kg/document/300278" TargetMode="External"/><Relationship Id="rIdoqqhcwcleiiy77pm56i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2026-10-02T09:22:59.775Z</dcterms:created>
  <dcterms:modified xsi:type="dcterms:W3CDTF">2026-10-02T09:22:59.775Z</dcterms:modified>
</cp:coreProperties>
</file>

<file path=docProps/custom.xml><?xml version="1.0" encoding="utf-8"?>
<Properties xmlns="http://schemas.openxmlformats.org/officeDocument/2006/custom-properties" xmlns:vt="http://schemas.openxmlformats.org/officeDocument/2006/docPropsVTypes"/>
</file>