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oob34hullz1ugcff8kr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Республики20 июля 2001 года. Регистрационный номер 116-01                                                    Утверждено                                         постановлением Государственной                                           комиссии при Правительстве                                              Кыргызской Республики                                              по рынку ценных бумаг                                            от 2 июля 2001 года № 28                                ПОЛОЖЕНИЕ          о нормативных показателях достаточности собственных       средств, устанавливаемых для профессиональных участников                          рынка ценных бумаг                (В редакции </w:t>
      </w:r>
      <w:hyperlink w:history="1" r:id="rIdbsay9shom1_0pckivrmk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29 апреля 2002 года № 38)                           1. Общие положения      1.1. Настоящее Положение разработано в соответствии с </w:t>
      </w:r>
      <w:hyperlink w:history="1" r:id="rIdkdz569ejbny8p4oet0u6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и устанавливает  обязательныек соблюдению профессиональными участниками рынка ценных бумаг нормативыдостаточности собственных средств.     1.2. Соблюдение нормативов достаточности собственных средств необ-ходимо в целях:     - обеспечения базы для прибыльного и устойчивого роста;     - ограничения риска по операциям с ценными бумагами;     - своевременного покрытия убытков и потенциальных потерь,  связан-ных с деятельностью профессиональных участников;     - повышения доверия к профессиональным участникам рынка ценных бу-маг со стороны инвесторов.     1.3. При оценке реальной достаточности собственных средств,  кроменормативных показателей,  установленных настоящим Положением, уполномо-ченный  орган по регулированию рынка ценных бумаг будет учитывать такжедругие показатели, к которым относятся:     - качество управления;     - соблюдение законодательства по ценным бумагам;     - ликвидность;     - общие экономические условия.     1.4. Расчет  нормативов достаточности собственных средств произво-дится профессиональными участниками и  ежеквартально  представляется  вуполномоченный  орган  по регулированию рынка ценных бумаг на основанииданных бухгалтерской отчетности,  составленной по установленным  нормамбухгалтерского учета.                 2. Нормативные показатели достаточности                          собственных средств      2.1. Минимальный размер собственного капитала      2.1.1. Собственный капитал - это чистая стоимость имущества  субъ-екта,  определяемая  как  разница  между стоимостью активов (имущества)субъекта и его обязательствами.     (В редакции  </w:t>
      </w:r>
      <w:hyperlink w:history="1" r:id="rIdkibyfor0qactmdn3bbfp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29апреля 2002 года № 38)     2.1.2. Собственный капитал состоит из:     - полностью оплаченного уставного капитала;     - дополнительного оплаченного капитала;     - нераспределенной прибыли;     - резервного капитала;     - добавочного капитала.     (В редакции  </w:t>
      </w:r>
      <w:hyperlink w:history="1" r:id="rId1n0q7hjsqtvuixoc9hnw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29апреля 2002 года № 38)     2.1.3. На момент подачи заявления о выдаче лицензии на право веде-ния  профессиональной  деятельности по ценным бумагам и в течение всегосрока действия лицензии размер собственного капитала  профессиональногоучастника рынка ценных бумаг, определяемого в соответствии с требовани-ями подпункта 2.1.2 настоящего Положения, должен быть не менее размера,установленного в соответствии с требованиями подпункта 2.1.4 настоящегоПоложения.     2.1.4. Минимальный  размер собственного капитала профессиональногоучастника должен быть не менее следующей величины:     депозитарная деятельность  - минимальных месячных 15000 заработныхплат,  установленных законодательством Кыргызской Республики  (далее  -ММЗП);     клиринговая деятельность - 15000 ММЗП;     деятельность по организации  торговли  на  рынке  ценных  бумаг  -170000 ММЗП;     деятельность по доверительному управлению ценными бумагами - 10000ММЗП;     дилерская деятельность - 7500 ММЗП;     брокерская деятельность - 5000 ММЗП;     деятельность по ведению реестра владельцев  ценных  бумаг  -  3000ММЗП;     деятельность инвестиционного консультанта - 500 ММЗП;     деятельность по управлению инвестиционным фондом - 15000 ММЗП.     (В редакции  </w:t>
      </w:r>
      <w:hyperlink w:history="1" r:id="rIdddfdvclqrpffrafqmxjf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29апреля 2002 года № 38)     2.1.5. При  осуществлении  на условиях совмещения нескольких видовпрофессиональной деятельности  по  ценным  бумагам  минимальный  размерсобственного  капитала профессионального участника определяется в соот-ветствии с требованиями, предъявляемыми к тому из видов деятельности, вотношении которого установлен наибольший минимальный размер собственно-го капитала.      2.2. Коэффициент текущей ликвидности      2.2.1. Коэффициент текущей  ликвидности  устанавливается  в  целяхоценки  и  обеспечения  наличия  ликвидных  активов  у профессиональныхучастников.     2.2.2. Коэффициент текущей ликвидности определяется отношением вы-соколиквидных активов к сумме текущих обязательств и выражается следую-щей формулой:      К = ВА / О, где:      ВА - сумма высоколиквидных активов, в которую включаются:          1) кассовая наличность;          2) денежные средства в расчетах;          3) депозиты;          4) государственные ценные бумаги;     О  - текущие обязательства, состоящие из:          1) кредиторской задолженности:          - по расчетам с бюджетом;          - по уплате труда;          - по расчетам по социальному страхованию;          - прочим кредиторам;          2) краткосрочных банковских кредитов.     2.2.3. Коэффициент текущей ликвидности для профессиональных участ-ников не должен быть менее 0,5.      2.3. Максимальный размер совокупных обязательств      2.3.1. Профессиональные участники должны поддерживать размер сово-купных  обязательств  на  уровне,  не  превышающем пятикратного размерасобственного капитала.     2.3.2. В совокупные обязательства входят:     - кредиты банков;     - краткосрочные займы;     - расчеты с бюджетом;     - расчеты по социальному страхованию;     - расчеты по оплате труда;     - авансы, полученные от покупателей и заказчиков;     - расчеты по дивидендам;     - прочая кредиторская задолженность.      2.4. Резервирование капитала      2.4.1. Профессиональные  участники  рынка ценных бумаг должны нап-равлять на формирование резервного фонда не менее 2%  от совокупных де-биторских обязательств.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r796ynkfgxjjzzfabd5s">
      <w:r>
        <w:rPr>
          <w:rFonts w:ascii="Arial" w:cs="Arial" w:eastAsia="Arial" w:hAnsi="Arial"/>
          <w:color w:val="132D3F"/>
          <w:sz w:val="16"/>
          <w:szCs w:val="16"/>
          <w:u w:val="single"/>
        </w:rPr>
        <w:t xml:space="preserve">dalil.kg/document/30034</w:t>
      </w:r>
    </w:hyperlink>
  </w:p>
  <w:p>
    <w:pPr>
      <w:spacing w:after="0" w:before="40"/>
      <w:jc w:val="center"/>
    </w:pPr>
    <w:hyperlink w:history="1" r:id="rIdjtko2idqt8rmymxq_xfe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oob34hullz1ugcff8krx" Type="http://schemas.openxmlformats.org/officeDocument/2006/relationships/hyperlink" Target="https://dalil.kg/document/202591" TargetMode="External"/><Relationship Id="rIdbsay9shom1_0pckivrmkw" Type="http://schemas.openxmlformats.org/officeDocument/2006/relationships/hyperlink" Target="https://dalil.kg/document/31497" TargetMode="External"/><Relationship Id="rIdkdz569ejbny8p4oet0u65" Type="http://schemas.openxmlformats.org/officeDocument/2006/relationships/hyperlink" Target="https://dalil.kg/document/104" TargetMode="External"/><Relationship Id="rIdkibyfor0qactmdn3bbfpo" Type="http://schemas.openxmlformats.org/officeDocument/2006/relationships/hyperlink" Target="https://dalil.kg/document/31497" TargetMode="External"/><Relationship Id="rId1n0q7hjsqtvuixoc9hnwb" Type="http://schemas.openxmlformats.org/officeDocument/2006/relationships/hyperlink" Target="https://dalil.kg/document/31497" TargetMode="External"/><Relationship Id="rIdddfdvclqrpffrafqmxjf9" Type="http://schemas.openxmlformats.org/officeDocument/2006/relationships/hyperlink" Target="https://dalil.kg/document/3149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r796ynkfgxjjzzfabd5s" Type="http://schemas.openxmlformats.org/officeDocument/2006/relationships/hyperlink" Target="https://dalil.kg/document/30034" TargetMode="External"/><Relationship Id="rIdjtko2idqt8rmymxq_xfe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2026-10-01T02:22:47.611Z</dcterms:created>
  <dcterms:modified xsi:type="dcterms:W3CDTF">2026-10-01T02:22:47.611Z</dcterms:modified>
</cp:coreProperties>
</file>

<file path=docProps/custom.xml><?xml version="1.0" encoding="utf-8"?>
<Properties xmlns="http://schemas.openxmlformats.org/officeDocument/2006/custom-properties" xmlns:vt="http://schemas.openxmlformats.org/officeDocument/2006/docPropsVTypes"/>
</file>