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r>
        <w:rPr>
          <w:rFonts w:ascii="Arial" w:cs="Arial" w:eastAsia="Arial" w:hAnsi="Arial"/>
          <w:sz w:val="24"/>
          <w:szCs w:val="24"/>
        </w:rPr>
        <w:t xml:space="preserve">ПРЕКРАТИЛ ДЕЙСТВИЕ</w:t>
      </w:r>
    </w:p>
    <w:p>
      <w:pPr>
        <w:spacing w:after="120"/>
        <w:jc w:val="both"/>
      </w:pPr>
      <w:r>
        <w:rPr>
          <w:rFonts w:ascii="Arial" w:cs="Arial" w:eastAsia="Arial" w:hAnsi="Arial"/>
          <w:sz w:val="20"/>
          <w:szCs w:val="20"/>
        </w:rPr>
        <w:t xml:space="preserve"> в соответствии со статьей 36 </w:t>
      </w:r>
      <w:hyperlink w:history="1" r:id="rIdciqqd0jbogr_vjsqhqxl5">
        <w:r>
          <w:rPr>
            <w:rFonts w:ascii="Arial" w:cs="Arial" w:eastAsia="Arial" w:hAnsi="Arial"/>
            <w:color w:val="1D4ED8"/>
            <w:sz w:val="20"/>
            <w:szCs w:val="20"/>
            <w:u w:val="single"/>
          </w:rPr>
          <w:t xml:space="preserve">Закона</w:t>
        </w:r>
      </w:hyperlink>
      <w:r>
        <w:rPr>
          <w:rFonts w:ascii="Arial" w:cs="Arial" w:eastAsia="Arial" w:hAnsi="Arial"/>
          <w:sz w:val="20"/>
          <w:szCs w:val="20"/>
        </w:rPr>
        <w:t xml:space="preserve"> КР</w:t>
      </w:r>
    </w:p>
    <w:p>
      <w:pPr>
        <w:spacing w:after="120"/>
        <w:jc w:val="both"/>
      </w:pPr>
      <w:r>
        <w:rPr>
          <w:rFonts w:ascii="Arial" w:cs="Arial" w:eastAsia="Arial" w:hAnsi="Arial"/>
          <w:sz w:val="20"/>
          <w:szCs w:val="20"/>
        </w:rPr>
        <w:t xml:space="preserve"> от 20 июля 2009 года № 241</w:t>
      </w:r>
    </w:p>
    <w:p>
      <w:pPr>
        <w:spacing w:after="120"/>
        <w:jc w:val="both"/>
      </w:pPr>
      <w:r>
        <w:rPr>
          <w:rFonts w:ascii="Arial" w:cs="Arial" w:eastAsia="Arial" w:hAnsi="Arial"/>
          <w:sz w:val="20"/>
          <w:szCs w:val="20"/>
        </w:rPr>
        <w:t xml:space="preserve"> "О нормативных правовых актах Кыргызской Республики"</w:t>
      </w:r>
    </w:p>
    <w:p>
      <w:r>
        <w:rPr>
          <w:rFonts w:ascii="Arial" w:cs="Arial" w:eastAsia="Arial" w:hAnsi="Arial"/>
          <w:sz w:val="24"/>
          <w:szCs w:val="24"/>
        </w:rPr>
        <w:t xml:space="preserve">Зарегистрирована в Министерстве юстиции Кыргызской Республики20 июля 2005 года. Регистрационный номер 92-05.                                                 Утверждена</w:t>
      </w:r>
    </w:p>
    <w:p>
      <w:r>
        <w:rPr>
          <w:rFonts w:ascii="Arial" w:cs="Arial" w:eastAsia="Arial" w:hAnsi="Arial"/>
          <w:sz w:val="24"/>
          <w:szCs w:val="24"/>
        </w:rPr>
        <w:t xml:space="preserve">приказом</w:t>
      </w:r>
    </w:p>
    <w:p>
      <w:r>
        <w:rPr>
          <w:rFonts w:ascii="Arial" w:cs="Arial" w:eastAsia="Arial" w:hAnsi="Arial"/>
          <w:sz w:val="24"/>
          <w:szCs w:val="24"/>
        </w:rPr>
        <w:t xml:space="preserve">Минфин КР                                        от 13 июля 2005 года № 174-П                                Инструкция                   По переводу бюджетных учреждений       по видам деятельности на полное бюджетное финансирование                                                              1.Общие положения   1.1    Настоящая   инструкция   разработана   в   соответствии    с</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 Кыргызской Республики от 30 октября  2004года № 798 «О поэтапном переходе бюджетных учреждений и организаций наполное  бюджетное финансирование» и регулирует порядок формирования  ирасходования  средств  бюджетных учреждений переводимых  на  бюджетноефинансирование из республиканского бюджета.   2.Учет доходов, перечисляемых бюджетными учреждениями иорганизациями.   2.1  Учет  доходов  ведется в соответствии  с  законами  КыргызскойРеспублики  «Об  основных  принципах  бюджетного  права  в  КыргызскойРеспублике»   от</w:t>
      </w:r>
    </w:p>
    <w:p>
      <w:r>
        <w:rPr>
          <w:rFonts w:ascii="Arial" w:cs="Arial" w:eastAsia="Arial" w:hAnsi="Arial"/>
          <w:sz w:val="24"/>
          <w:szCs w:val="24"/>
        </w:rPr>
        <w:t xml:space="preserve">11.06.1998  года  №  78</w:t>
      </w:r>
    </w:p>
    <w:p>
      <w:r>
        <w:rPr>
          <w:rFonts w:ascii="Arial" w:cs="Arial" w:eastAsia="Arial" w:hAnsi="Arial"/>
          <w:sz w:val="24"/>
          <w:szCs w:val="24"/>
        </w:rPr>
        <w:t xml:space="preserve">,  «Об  основных   положенияхКазначейства  Кыргызской  Республики»  от</w:t>
      </w:r>
    </w:p>
    <w:p>
      <w:r>
        <w:rPr>
          <w:rFonts w:ascii="Arial" w:cs="Arial" w:eastAsia="Arial" w:hAnsi="Arial"/>
          <w:sz w:val="24"/>
          <w:szCs w:val="24"/>
        </w:rPr>
        <w:t xml:space="preserve">28.05.1994  года  №1553-ХII</w:t>
      </w:r>
    </w:p>
    <w:p>
      <w:r>
        <w:rPr>
          <w:rFonts w:ascii="Arial" w:cs="Arial" w:eastAsia="Arial" w:hAnsi="Arial"/>
          <w:sz w:val="24"/>
          <w:szCs w:val="24"/>
        </w:rPr>
        <w:t xml:space="preserve">,инструкциями</w:t>
      </w:r>
    </w:p>
    <w:p>
      <w:r>
        <w:rPr>
          <w:rFonts w:ascii="Arial" w:cs="Arial" w:eastAsia="Arial" w:hAnsi="Arial"/>
          <w:sz w:val="24"/>
          <w:szCs w:val="24"/>
        </w:rPr>
        <w:t xml:space="preserve">«О порядке ведения учета доходов государственного бюджета</w:t>
      </w:r>
    </w:p>
    <w:p>
      <w:r>
        <w:rPr>
          <w:rFonts w:ascii="Arial" w:cs="Arial" w:eastAsia="Arial" w:hAnsi="Arial"/>
          <w:sz w:val="24"/>
          <w:szCs w:val="24"/>
        </w:rPr>
        <w:t xml:space="preserve">в  системе казначейства Кыргызской Республики»</w:t>
      </w:r>
    </w:p>
    <w:p>
      <w:r>
        <w:rPr>
          <w:rFonts w:ascii="Arial" w:cs="Arial" w:eastAsia="Arial" w:hAnsi="Arial"/>
          <w:sz w:val="24"/>
          <w:szCs w:val="24"/>
        </w:rPr>
        <w:t xml:space="preserve">(зарегистрировано в  МЮКР</w:t>
      </w:r>
    </w:p>
    <w:p>
      <w:r>
        <w:rPr>
          <w:rFonts w:ascii="Arial" w:cs="Arial" w:eastAsia="Arial" w:hAnsi="Arial"/>
          <w:sz w:val="24"/>
          <w:szCs w:val="24"/>
        </w:rPr>
        <w:t xml:space="preserve">5.11.2001г.№ 188-01</w:t>
      </w:r>
    </w:p>
    <w:p>
      <w:r>
        <w:rPr>
          <w:rFonts w:ascii="Arial" w:cs="Arial" w:eastAsia="Arial" w:hAnsi="Arial"/>
          <w:sz w:val="24"/>
          <w:szCs w:val="24"/>
        </w:rPr>
        <w:t xml:space="preserve">:31587),</w:t>
      </w:r>
    </w:p>
    <w:p>
      <w:r>
        <w:rPr>
          <w:rFonts w:ascii="Arial" w:cs="Arial" w:eastAsia="Arial" w:hAnsi="Arial"/>
          <w:sz w:val="24"/>
          <w:szCs w:val="24"/>
        </w:rPr>
        <w:t xml:space="preserve">«О процедурах казначейства по ведению учета и</w:t>
      </w:r>
    </w:p>
    <w:p>
      <w:r>
        <w:rPr>
          <w:rFonts w:ascii="Arial" w:cs="Arial" w:eastAsia="Arial" w:hAnsi="Arial"/>
          <w:sz w:val="24"/>
          <w:szCs w:val="24"/>
        </w:rPr>
        <w:t xml:space="preserve">отчетности»</w:t>
      </w:r>
    </w:p>
    <w:p>
      <w:r>
        <w:rPr>
          <w:rFonts w:ascii="Arial" w:cs="Arial" w:eastAsia="Arial" w:hAnsi="Arial"/>
          <w:sz w:val="24"/>
          <w:szCs w:val="24"/>
        </w:rPr>
        <w:t xml:space="preserve">,  (зарегистрировано  в  МЮ  КР</w:t>
      </w:r>
    </w:p>
    <w:p>
      <w:r>
        <w:rPr>
          <w:rFonts w:ascii="Arial" w:cs="Arial" w:eastAsia="Arial" w:hAnsi="Arial"/>
          <w:sz w:val="24"/>
          <w:szCs w:val="24"/>
        </w:rPr>
        <w:t xml:space="preserve">19.11.2004г   №   131-04</w:t>
      </w:r>
    </w:p>
    <w:p>
      <w:r>
        <w:rPr>
          <w:rFonts w:ascii="Arial" w:cs="Arial" w:eastAsia="Arial" w:hAnsi="Arial"/>
          <w:sz w:val="24"/>
          <w:szCs w:val="24"/>
        </w:rPr>
        <w:t xml:space="preserve">),утвержденных приказами Министерства финансов Кыргызской Республики  от18.10.2001  года  №293/п  и  от 29.10.2001  года  №311/п,  а  также  всоответствии с классификационной структурой операций по доходам.   2.2.Доходы,   поступающие  от  выдачи  государственных  разрешений,сертификатов,    документов    о   соответствии    предпринимательскойдеятельности    и    ее   результатов   обязательным   государственнымтребованиям,   обязательного  согласования   инвестиционной   и   инойдокументации  в  соответствии  с Реестром  разрешительных  документов,утвержденным</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 Кыргызской Республики от  25февраля   2004   года №103  «Об  утверждении  Реестра   разрешительныхдокументов,   выдаваемых   органами  исполнительской   власти   и   ихструктурными подразделениями», а также проведения контрольно-надзорныхмероприятий  (проверок), отчислений от финансовых санкций,  штрафов  ипени   в   соответствии   с   Перечнем,  утвержденным</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 Кыргызской Республики от 30 октября 2004  года  №798  «Опоэтапном  переходе  бюджетных  учреждений  и  организаций  на  полноебюджетное    финансирование»,    полностью    зачислятся    в    доходреспубликанского  бюджета  через  банки-агенты  на   транзитный   счетрегионального    отделения   казначейства    по    месту    нахождениягосударственного органа.   2.3. Поступления от вышеперечисленных    видов доходов отражаются вотчете о исполнении доходной части республиканского бюджета по уровнямна:   «72000  -  Плата за выдачу лицензий и других разрешительных документовна  право  осуществления предпринимательской деятельности» зачисляютсядоходы,  поступающие  от  выдачи лицензий и различных  государственныхразрешений,      сертификатов,     документов      о      соответствиипредпринемательской   деятельности  и  ее   результатов   обязательнымгосударственным требованиям;«75100   -Административные   штрафы  и  санкции»   зачисляются   суммыпоступления от административных штрафов;«75300  -  Поступления  по штрафам и финансовым санкциям»  зачисляютсясуммы  финансовых санкций,  штрафов и пени  поступающие от  проведенияконтрольно- надзорных мероприятий.     2.4  Перечисление  доходов, поступающих от выдачи  разрешительныхдокументов  и  отчислений финансовых санкций и штрафов, осуществляетсяпосредством банковских платежных поручений, при заполнении  которых  вразделе  «назначение  платежа»  указывается  наименование  плательщика(физическое  или  юридическое лицо), перечисляющего данный  платеж,  атакже  наименование  вида дохода согласно классификационной  структуреопераций по доходам.     2.5   Министерства,  государственные  комитеты,  административныеведомства,  государственные  комиссии и другие  органы  исполнительнойвласти   Кыргызской   Республики  в  соответствии   с</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 Кыргызской Республики от 30 октября 2004  года  №798  «Опоэтапном  переходе  бюджетных  учреждений  и  организаций  на  полноебюджетное    финансирование»    обязаны   предоставить    учреждениям,организациям,  предприятиям,  а  также  физическим  лицам  необходимыебанковские  реквизиты  для оформления ими соответствующего  платежногопоручения  и  последующего зачисления средств в доход республиканскогобюджета     2.6   Министерства,  государственные  комитеты,  административныеведомства,  государственные  комиссии и другие  органы  исполнительнойвласти   Кыргызской  Республики,  в  соответствии   с</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 Кыргызской Республики от 30 октября 2004  года  №798  «Oпоэтапном  переходе  бюджетных  учреждений  и  организаций  на  полноебюджетное  финансирование» должны производить  контроль  и  мониторингсумм  денежных средств, поступающих в доход республиканского  бюджета,от  выдачи  государственных  разрешений,  сертификатов,  документов  осоответствии   предпринимательской  деятельности  и   ее   результатовобязательным  государственным требованиям, обязательного  согласованияинвестиционной  политики и иной документации,  проведения  контрольно-надзорных  мероприятий  (проверок), а также отчислений  от  финансовыхсанкций,  штрафов  и  пени,  и ежеквартально  представлять  Бюджетномудепартаменту  Министерства финансов Кыргызской Республики  сведения  онаправленных    в   доход   республиканского   бюджета   вышеназванныхпоступлениях до 20числа следующего за кварталом месяца .     3.  Текушее финансирование учреждений, переведенных на  бюджетноефинансирование из республиканского бюджета.      3.1   Финансирование   бюджетных   учреждений   и   организаций,переводимых на бюджетное финансирование, осуществляется в соответствиис</w:t>
      </w:r>
    </w:p>
    <w:p>
      <w:r>
        <w:rPr>
          <w:rFonts w:ascii="Arial" w:cs="Arial" w:eastAsia="Arial" w:hAnsi="Arial"/>
          <w:sz w:val="24"/>
          <w:szCs w:val="24"/>
        </w:rPr>
        <w:t xml:space="preserve">Инструкцией</w:t>
      </w:r>
    </w:p>
    <w:p>
      <w:r>
        <w:rPr>
          <w:rFonts w:ascii="Arial" w:cs="Arial" w:eastAsia="Arial" w:hAnsi="Arial"/>
          <w:sz w:val="24"/>
          <w:szCs w:val="24"/>
        </w:rPr>
        <w:t xml:space="preserve">«О порядке открытия и ведения региональными отделениямиЦентрального Казначейства Министерства финансов Кыргызской  Республикиказначейских   счетов  для  учета  операций  по  исполнению   расходовгосударственного бюджета Кыргызской Республики», утвержденной</w:t>
      </w:r>
    </w:p>
    <w:p>
      <w:r>
        <w:rPr>
          <w:rFonts w:ascii="Arial" w:cs="Arial" w:eastAsia="Arial" w:hAnsi="Arial"/>
          <w:sz w:val="24"/>
          <w:szCs w:val="24"/>
        </w:rPr>
        <w:t xml:space="preserve">приказом</w:t>
      </w:r>
    </w:p>
    <w:p>
      <w:r>
        <w:rPr>
          <w:rFonts w:ascii="Arial" w:cs="Arial" w:eastAsia="Arial" w:hAnsi="Arial"/>
          <w:sz w:val="24"/>
          <w:szCs w:val="24"/>
        </w:rPr>
        <w:t xml:space="preserve">Министерства финансов Кыргызской Республики от 18.10.2001  г.  №293-п.(зарегистрировано   в   Министерстве  юстиции  Кыргызской   Республики5.11.2001г.№188-01).     3.2  По  бюджетным  учреждениям, переводимым на полное  бюджетноефинансирование  составляется  свод расходов  по  кодам  министерств  иведомств, аналогичный приложению №2 к Закону Кыргызской Республики  «Ореспубликанском бюджете Кыргызской Республики на соответствующий год»,затем  указанный  .  свод расходов включается в приложение  №2  ЗаконаКыргызской Республики «O республиканском бюджете Кыргызской Республикина соответствующий год».     3.3    Бюджетными   учреждениями,   переводимыми   на   бюджетноефинансирование,   ежегодно  составляются   сметы   расходов,   которыеутверждаются   Министерством   финансов   Кыргызской   Республики    споквартальной  разбивкой. На сметах, в правом верхнем  углу,  делаетсяпометка  или специальные указания « Бюджетные учреждения, связанные  срегулятивной   деятельностью».При  составлении  и   утверждении   сметрасходов,  расходы  могут быть предусмотрены больше  или  меньше  суммпланируемых доходов.     3.4    Центральное   казначейство   осуществляет   финансированиебюджетных  учреждений министерств, ведомств, государственных комиссий,переводимых на полное бюджетное финансирование в пределах утвержденныхсмет  расходов  на  финансовый  год и  в  соответствии  с  ежемесячнымфинансовым планом расходов.     3.5  В  необходимых  случаях  справками-  уведомлениями  вносятсяизменения в смету расходов.     4. Отчетность     4.1Отчетность  по  расходам бюджетных учреждений  и  организаций,переводимых  на  бюджетное  финансирование,  осуществляется   согласноустановленным  казначейским  процедурам.  Порядок  сдачи  отчетов   посуммам,  связанным с регулятивной деятельностью, определяется согласноустановленному  графику  сдачи периодических,  квартальных  и  годовыхотчетов,   утвержденных  приказом  Министерства  финансов   КыргызскойРеспублики.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bh83zri_cczglrpyyhkm">
      <w:r>
        <w:rPr>
          <w:rFonts w:ascii="Arial" w:cs="Arial" w:eastAsia="Arial" w:hAnsi="Arial"/>
          <w:color w:val="132D3F"/>
          <w:sz w:val="16"/>
          <w:szCs w:val="16"/>
          <w:u w:val="single"/>
        </w:rPr>
        <w:t xml:space="preserve">dalil.kg/document/300375</w:t>
      </w:r>
    </w:hyperlink>
  </w:p>
  <w:p>
    <w:pPr>
      <w:spacing w:after="0" w:before="40"/>
      <w:jc w:val="center"/>
    </w:pPr>
    <w:hyperlink w:history="1" r:id="rId7tox_c-yfxsjypm5jv4d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iqqd0jbogr_vjsqhqxl5" Type="http://schemas.openxmlformats.org/officeDocument/2006/relationships/hyperlink" Target="https://dalil.kg/document/20259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bh83zri_cczglrpyyhkm" Type="http://schemas.openxmlformats.org/officeDocument/2006/relationships/hyperlink" Target="https://dalil.kg/document/300375" TargetMode="External"/><Relationship Id="rId7tox_c-yfxsjypm5jv4d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2026-10-02T08:15:02.246Z</dcterms:created>
  <dcterms:modified xsi:type="dcterms:W3CDTF">2026-10-02T08:15:02.246Z</dcterms:modified>
</cp:coreProperties>
</file>

<file path=docProps/custom.xml><?xml version="1.0" encoding="utf-8"?>
<Properties xmlns="http://schemas.openxmlformats.org/officeDocument/2006/custom-properties" xmlns:vt="http://schemas.openxmlformats.org/officeDocument/2006/docPropsVTypes"/>
</file>