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
 в соответствии с </w:t>
      </w:r>
      <w:hyperlink w:history="1" r:id="rIdjfq0u8qpzkgy12gu0f3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от 16 июня 2010 года № 49/3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марта 2007 года. Регистрационный номер 31-07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22 февраля 2007 года № 9/1                               ИНСТРУКЦИЯ          об особенностях расчета коэффициентов адекватности      капитала в ОАО "Экобанк" с учетом операций, осуществляемых         в соответствии с исламскими принципами финансирования                               1. Общие положения      1.1. Настоящая Инструкция разработана в рамках реализации пилотно-го проекта по внедрению исламских принципов финансирования в КыргызскойРеспублике.     1.2. Целью  данной  Инструкции  является установление особенностейрасчета коэффициентов адекватности капитала в ОАО "Экобанк"  (далее  потексту - "банк") с учетом операций, осуществляемых в соответствии с ис-ламскими принципами финансирования.     1.3. Для целей настоящей Инструкции используются следующие опреде-ления:     1.3.1. Активы,  размещенные/приобретенные  по  исламским принципамфинансирования - активы,  размещенные/приобретенные по операциям,  пре-дусмотренным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 принципов финансирова-ния в Кыргызской Республике в рамках пилотного  проекта"(1)  (далее  потексту - Положение о реализации исламских принципов финансирования).     1.3.2. Забалансовые обязательства,  принятые банком в соответствиис  исламскими  принципами  финансирования - забалансовые обязательства,принятые банком по операциям,  предусмотренным Положением о  реализацииисламских принципов финансирования.                   2. Стандарты адекватности капитала      2.1. Коэффициенты  адекватности капитала ОАО "Экобанк" рассчитыва-ются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Инструкцией</w:t>
      </w:r>
    </w:p>
    <w:p>
      <w:r>
        <w:rPr>
          <w:rFonts w:ascii="Arial" w:cs="Arial" w:eastAsia="Arial" w:hAnsi="Arial"/>
          <w:sz w:val="24"/>
          <w:szCs w:val="24"/>
        </w:rPr>
        <w:t xml:space="preserve">по определению стандартов адекватнос-ти  капитала  коммерческих  банков  Кыргызской  Республики(2) (далее потексту - Инструкция по определению стандартов адекватности капитала)  собязательным  включением в расчет операций,  осуществляемых в соответс-твии с исламскими принципами  финансирования,  с  учетом  особенностей,оговоренных в настоящей Инструкции.     2.2. Значения  коэффициента   адекватности   Суммарного   капитала(К.2.1) и коэффициента адекватности капитала Первого уровня (К.2.2) дляОАО "Экобанк" определяются в зависимости от доли активов, размещенных всоответствии  с  исламскими принципами финансирования в общем кредитномпортфеле банка, согласно следующей схеме:-----------------------------------------------------------------------|        Доля активов, размещенных        |  Значение  |   Значение   ||  по исламским принципам финансирования  |коэффициента| коэффициента ||    в общем кредитном портфеле банка     |адекватности| адекватности ||      (включая активы по исламским       | Суммарного |   капитала   ||        принципам финансирования)        |  капитала  |Первого уровня||                                         |  (К.2.1.)  |   (К.2.2.)   ||-----------------------------------------|------------|--------------||0-30%                                    |     12     |     6        ||-----------------------------------------|------------|--------------||31-45%                                   |     13%    |     6,5%     ||-----------------------------------------|------------|--------------||46-60%                                   |     14%    |     7%       ||-----------------------------------------|------------|--------------||61-75%                                   |     15%    |     7,5%     ||-----------------------------------------|------------|--------------||76% и более                              |     16%    |     8%       |-----------------------------------------------------------------------     2.3. Левераж (К.2.3) для ОАО "Экобанк" должен быть не менее 8%.     2.4. По итогам финансового года реализации  пилотного  проекта  повнедрению исламских принципов финансирования в ОАО "Экобанк" и на осно-вании результатов проверки НБКР деятельности ОАО "Экобанк",  а также  сучетом  результатов  внешнего аудита,  проведенного международной ауди-торской компанией, НБКР производит оценку качества активов, размещенныхи/или приобретенных в соответствии с исламскими принципами финансирова-ния.     НБКР снизит  требования по адекватности капитала для ОАО "Экобанк"в случае,  если доля активов,  размещенных и/или приобретенных в  соот-ветствии  с  исламскими  принципами  финансирования,  в общем кредитномпортфеле банка (включая активы по исламским  принципам  финансирования)составляет  46%  и  более и при отсутствии тенденции ухудшения качестваактивов,  но не ниже пороговых значений,  установленных настоящей  Инс-трукцией.        3. Особенности оценки по степени риска балансовых активов          и забалансовых обязательств, размещенных (принятых)         в соответствии с исламскими принципами финансирования      3.1. Оценка  адекватности капитала в рамках данной Инструкции про-водится в отношении кредитного риска,  т.е.  риска, относящегося к раз-личным  видам активов и забалансовых обязательств,  размещенных (приня-тых) в соответствии с исламскими принципами финансирования.     3.2. При расчете коэффициентов адекватности капитала,  его отдель-ные составные части включаются в расчет с учетом операций, осуществляе-мых  в  соответствии с исламскими принципами финансирования.  Например,при расчете капитала Второго уровня должны включаться общие резервы  напокрытие потенциальных потерь и убытков по активам, размещенным в соот-ветствии с исламскими принципами финансирования.     3.3. Активы, размещенные/приобретенные банком в соответствии с ис-ламскими принципами финансирования вне зависимости от  вида  залоговогообеспечения  по ним,  а также все начисленные к получению доходы по нимотносятся к пятой категории со степенью риска - 100%.     3.4. Фактор  кредитной  конверсии  по  забалансовым обязательствамбанка на размещение/приобретение актива  в  соответствии  с  исламскимипринципами финансирования должен определятся в размере 100%,  за исклю-чением  краткосрочных  самоликвидирующихся  забалансовых  обязательств,предусмотренных  подпунктом  "б"  пункта  5.3 Инструкции по определениюстандартов адекватности капитала, по которым фактор кредитной конверсииопределяется в размере 50%.     3.5. Активы и забалансовые обязательства,  размещенные  (принятые)банком не по исламским принципам финансирования взвешиваются по степенириска согласно Инструкции по определению стандартов адекватности  капи-тала.            4. Порядок заполнения и представления отчетности             о выполнении стандартов адекватности капитала      4.1. Отчетность о выполнении стандартов  адекватности  капитала  сучетом  операций,  осуществляемых  банком  в  соответствии с исламскимипринципами финансирования,  составляется в соответствии с  требованиямиИнструкции  по  определению стандартов адекватности капитала и с учетомособенностей, оговоренных в настоящей Инструкции.     4.2. При  составлении  отчетности о выполнении стандартов адекват-ности капитала:     - балансовые  активы банка,  размещенные/приобретенные в соответс-твии с исламскими принципами финансирования, должны отражаться в строке430.2  "Остальная часть прочих активов" 15 раздела Периодического регу-лятивного банковского отчета;     - все забалансовые обязательства (включая краткосрочные самоликви-дирующиеся забалансовые обязательства),  привлеченные в соответствии  сисламскими  принципами  финансирования,  должны отражаться в строке 590"Другие забалансовые обязательства" 15 раздела  Периодического  регуля-тивного банковского отчета.     4.3. Сведения о выполнении стандартов адекватности капитала  и  ихрасчет,  представляются банком в соответствии с требованиями Инструкциипо определению стандартов адекватности капитала и в составе Периодичес-кого регулятивного банковского отчета.      (1)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 32/2 от 30.10.06 г.и зарегистрировано МЮКР за № 120-06 от 30.11.06 г.     (2)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 18/2 от  21.07.2004г. и зарегистрирована МЮКР за № 94-04 от 23.08.04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fnwfczdexo7vndl7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dalil.kg/document/300604</w:t>
      </w:r>
    </w:hyperlink>
  </w:p>
  <w:p>
    <w:pPr>
      <w:spacing w:after="0" w:before="40"/>
      <w:jc w:val="center"/>
    </w:pPr>
    <w:hyperlink w:history="1" r:id="rIdsmthd-fhrabutjzat7p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q0u8qpzkgy12gu0f3fi" Type="http://schemas.openxmlformats.org/officeDocument/2006/relationships/hyperlink" Target="https://dalil.kg/document/302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fnwfczdexo7vndl7wwu" Type="http://schemas.openxmlformats.org/officeDocument/2006/relationships/hyperlink" Target="https://dalil.kg/document/300604" TargetMode="External"/><Relationship Id="rIdsmthd-fhrabutjzat7p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2026-10-02T23:52:06.026Z</dcterms:created>
  <dcterms:modified xsi:type="dcterms:W3CDTF">2026-10-02T23:52:06.026Z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